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80"/>
        <w:jc w:val="center"/>
      </w:pPr>
      <w:r>
        <w:rPr>
          <w:rFonts w:ascii="Arial" w:hAnsi="Arial"/>
          <w:b/>
          <w:color w:val="C8962E"/>
          <w:sz w:val="18"/>
        </w:rPr>
        <w:t>CMMC TRAINING PROGRAM — COURSE 1</w:t>
      </w:r>
    </w:p>
    <w:p>
      <w:pPr>
        <w:spacing w:before="0" w:after="40"/>
        <w:jc w:val="center"/>
      </w:pPr>
      <w:r>
        <w:rPr>
          <w:rFonts w:ascii="Arial" w:hAnsi="Arial"/>
          <w:b/>
          <w:color w:val="0A1F3F"/>
          <w:sz w:val="52"/>
        </w:rPr>
        <w:t>Procedure Writing</w:t>
      </w:r>
    </w:p>
    <w:p>
      <w:pPr>
        <w:spacing w:before="0" w:after="80"/>
        <w:jc w:val="center"/>
      </w:pPr>
      <w:r>
        <w:rPr>
          <w:rFonts w:ascii="Arial" w:hAnsi="Arial"/>
          <w:color w:val="1A3A5C"/>
          <w:sz w:val="32"/>
        </w:rPr>
        <w:t>Guide &amp; Template</w:t>
      </w:r>
    </w:p>
    <w:p>
      <w:pPr>
        <w:spacing w:before="0" w:after="120"/>
        <w:jc w:val="center"/>
      </w:pPr>
      <w:r>
        <w:rPr>
          <w:rFonts w:ascii="Arial" w:hAnsi="Arial"/>
          <w:color w:val="999999"/>
          <w:sz w:val="18"/>
        </w:rPr>
        <w:t>Lesson 8.8 — Resource Document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40" w:after="80"/>
      </w:pPr>
      <w:r>
        <w:rPr>
          <w:rFonts w:ascii="Arial" w:hAnsi="Arial"/>
          <w:b/>
          <w:color w:val="0A1F3F"/>
          <w:sz w:val="22"/>
        </w:rPr>
        <w:t>INSTRUCTIONS</w:t>
      </w:r>
    </w:p>
    <w:p>
      <w:pPr>
        <w:spacing w:before="0" w:after="160"/>
      </w:pPr>
      <w:r>
        <w:rPr>
          <w:rFonts w:ascii="Arial" w:hAnsi="Arial"/>
          <w:color w:val="444444"/>
          <w:sz w:val="20"/>
        </w:rPr>
        <w:t>Policies state WHAT must be done; procedures explain HOW to do it. For each security policy, you need one or more procedures that provide step-by-step instructions. Use this guide and template to write clear, auditable procedures that your staff can follow consistently. Good procedures are specific enough that a new employee could follow them without additional guidance.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POLICY vs PROCEDURE vs STANDARD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360"/>
        <w:gridCol w:w="3360"/>
        <w:gridCol w:w="3360"/>
      </w:tblGrid>
      <w:tr>
        <w:tc>
          <w:tcPr>
            <w:tcW w:type="dxa" w:w="1872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DOCUMENT TYPE</w:t>
            </w:r>
          </w:p>
        </w:tc>
        <w:tc>
          <w:tcPr>
            <w:tcW w:type="dxa" w:w="360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PURPOSE</w:t>
            </w:r>
          </w:p>
        </w:tc>
        <w:tc>
          <w:tcPr>
            <w:tcW w:type="dxa" w:w="460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EXAMPLE</w:t>
            </w:r>
          </w:p>
        </w:tc>
      </w:tr>
      <w:tr>
        <w:tc>
          <w:tcPr>
            <w:tcW w:type="dxa" w:w="187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Policy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Defines WHAT must be done and WHY (management-level)</w:t>
            </w:r>
          </w:p>
        </w:tc>
        <w:tc>
          <w:tcPr>
            <w:tcW w:type="dxa" w:w="46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"All users must use multi-factor authentication."</w:t>
            </w:r>
          </w:p>
        </w:tc>
      </w:tr>
      <w:tr>
        <w:tc>
          <w:tcPr>
            <w:tcW w:type="dxa" w:w="187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Standard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Defines WHAT specific technology/threshold to use</w:t>
            </w:r>
          </w:p>
        </w:tc>
        <w:tc>
          <w:tcPr>
            <w:tcW w:type="dxa" w:w="460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"MFA shall use TOTP or FIDO2 tokens; SMS is not acceptable."</w:t>
            </w:r>
          </w:p>
        </w:tc>
      </w:tr>
      <w:tr>
        <w:tc>
          <w:tcPr>
            <w:tcW w:type="dxa" w:w="187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Procedure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Defines HOW to do it, step by step</w:t>
            </w:r>
          </w:p>
        </w:tc>
        <w:tc>
          <w:tcPr>
            <w:tcW w:type="dxa" w:w="46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"To enroll in MFA: 1) Go to portal... 2) Select authenticator..."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PROCEDURE TEMPLATE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288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FIELD</w:t>
            </w:r>
          </w:p>
        </w:tc>
        <w:tc>
          <w:tcPr>
            <w:tcW w:type="dxa" w:w="720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VALUE</w:t>
            </w:r>
          </w:p>
        </w:tc>
      </w:tr>
      <w:tr>
        <w:tc>
          <w:tcPr>
            <w:tcW w:type="dxa" w:w="288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Procedure Title</w:t>
            </w:r>
          </w:p>
        </w:tc>
        <w:tc>
          <w:tcPr>
            <w:tcW w:type="dxa" w:w="72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[e.g., User Account Provisioning Procedure]</w:t>
            </w:r>
          </w:p>
        </w:tc>
      </w:tr>
      <w:tr>
        <w:tc>
          <w:tcPr>
            <w:tcW w:type="dxa" w:w="288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Procedure Number</w:t>
            </w:r>
          </w:p>
        </w:tc>
        <w:tc>
          <w:tcPr>
            <w:tcW w:type="dxa" w:w="72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[ORG]-PROC-[###]</w:t>
            </w:r>
          </w:p>
        </w:tc>
      </w:tr>
      <w:tr>
        <w:tc>
          <w:tcPr>
            <w:tcW w:type="dxa" w:w="288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Related Policy</w:t>
            </w:r>
          </w:p>
        </w:tc>
        <w:tc>
          <w:tcPr>
            <w:tcW w:type="dxa" w:w="72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[Reference the parent policy]</w:t>
            </w:r>
          </w:p>
        </w:tc>
      </w:tr>
      <w:tr>
        <w:tc>
          <w:tcPr>
            <w:tcW w:type="dxa" w:w="288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Related Controls</w:t>
            </w:r>
          </w:p>
        </w:tc>
        <w:tc>
          <w:tcPr>
            <w:tcW w:type="dxa" w:w="72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[List NIST 800-171 control IDs, e.g., 3.1.1, 3.1.2]</w:t>
            </w:r>
          </w:p>
        </w:tc>
      </w:tr>
      <w:tr>
        <w:tc>
          <w:tcPr>
            <w:tcW w:type="dxa" w:w="288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Version</w:t>
            </w:r>
          </w:p>
        </w:tc>
        <w:tc>
          <w:tcPr>
            <w:tcW w:type="dxa" w:w="72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[1.0]</w:t>
            </w:r>
          </w:p>
        </w:tc>
      </w:tr>
      <w:tr>
        <w:tc>
          <w:tcPr>
            <w:tcW w:type="dxa" w:w="288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Effective Date</w:t>
            </w:r>
          </w:p>
        </w:tc>
        <w:tc>
          <w:tcPr>
            <w:tcW w:type="dxa" w:w="72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[MM/DD/YYYY]</w:t>
            </w:r>
          </w:p>
        </w:tc>
      </w:tr>
      <w:tr>
        <w:tc>
          <w:tcPr>
            <w:tcW w:type="dxa" w:w="288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Owner</w:t>
            </w:r>
          </w:p>
        </w:tc>
        <w:tc>
          <w:tcPr>
            <w:tcW w:type="dxa" w:w="72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[Name, Title]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PROCEDURE STEPS FORMAT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Write each step as a clear, actionable instruction. Use this format: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1. Step 1: [Action Verb] [Object]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The hiring manager submits an access request form to IT via the ticketing system, specifying the user's name, role, department, and required access level.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2. Step 2: [Action Verb] [Object]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IT verifies the request is approved by the user's manager and checks the role against the authorized access matrix.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3. Step 3: [Action Verb] [Object]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IT creates the user account in Active Directory with the appropriate group memberships based on the role.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4. Step 4: [Action Verb] [Object]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IT configures multi-factor authentication for the new account and generates temporary credentials.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5. Step 5: [Action Verb] [Object]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IT notifies the user with login instructions and temporary password, requiring password change at first login.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6. Step 6: [Document/Record]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IT logs the account creation in the access management log with date, approver, and permissions granted.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PROCEDURE WRITING BEST PRACTICES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Start each step with an action verb (Create, Configure, Verify, Submit, Document).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Specify WHO performs each step (role, not person name).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Include screenshots or references to tools where possible.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Define what "done" looks like — completion criteria for each step.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Reference related forms, templates, or systems by name.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Test the procedure by having someone unfamiliar with the task follow it.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Review and update procedures when tools, systems, or processes change.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00" w:after="40"/>
        <w:jc w:val="center"/>
      </w:pPr>
      <w:r>
        <w:rPr>
          <w:rFonts w:ascii="Arial" w:hAnsi="Arial"/>
          <w:color w:val="999999"/>
          <w:sz w:val="16"/>
        </w:rPr>
        <w:t>CMMC Training Program — Course 1</w:t>
      </w:r>
    </w:p>
    <w:p>
      <w:pPr>
        <w:spacing w:before="40" w:after="40"/>
        <w:jc w:val="center"/>
      </w:pPr>
      <w:r>
        <w:rPr>
          <w:rFonts w:ascii="Arial" w:hAnsi="Arial"/>
          <w:color w:val="666666"/>
          <w:sz w:val="18"/>
        </w:rPr>
        <w:t>For more resources, templates, and compliance guidance visit:</w:t>
      </w:r>
    </w:p>
    <w:p>
      <w:pPr>
        <w:spacing w:before="40" w:after="0"/>
        <w:jc w:val="center"/>
      </w:pPr>
      <w:r>
        <w:rPr>
          <w:rFonts w:ascii="Arial" w:hAnsi="Arial"/>
          <w:b/>
          <w:color w:val="C8962E"/>
          <w:sz w:val="22"/>
          <w:u w:val="single"/>
        </w:rPr>
        <w:t>www.easycompliances.net</w:t>
      </w:r>
    </w:p>
    <w:p>
      <w:pPr>
        <w:spacing w:before="120" w:after="0"/>
        <w:jc w:val="center"/>
      </w:pPr>
      <w:r>
        <w:rPr>
          <w:rFonts w:ascii="Arial" w:hAnsi="Arial"/>
          <w:color w:val="BBBBBB"/>
          <w:sz w:val="14"/>
        </w:rPr>
        <w:t>© 2026 Easy Compliances. All Rights Reserved.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