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CUI Data Flow</w:t>
      </w:r>
    </w:p>
    <w:p>
      <w:pPr>
        <w:spacing w:before="0" w:after="80"/>
        <w:jc w:val="center"/>
      </w:pPr>
      <w:r>
        <w:rPr>
          <w:rFonts w:ascii="Arial" w:hAnsi="Arial"/>
          <w:color w:val="1A3A5C"/>
          <w:sz w:val="32"/>
        </w:rPr>
        <w:t>Mapping Template</w:t>
      </w:r>
    </w:p>
    <w:p>
      <w:pPr>
        <w:spacing w:before="0" w:after="120"/>
        <w:jc w:val="center"/>
      </w:pPr>
      <w:r>
        <w:rPr>
          <w:rFonts w:ascii="Arial" w:hAnsi="Arial"/>
          <w:color w:val="999999"/>
          <w:sz w:val="18"/>
        </w:rPr>
        <w:t>Lesson 8.2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Use this template to map how CUI flows through your organization — from receipt to storage, processing, transmission, and eventual disposition. Understanding your CUI data flows is essential for defining your assessment boundary, identifying protection gaps, and ensuring that every system and person touching CUI is properly safeguarded. Complete each section with your IT and security teams, and include the resulting diagrams and tables in your SSP.</w:t>
      </w:r>
    </w:p>
    <w:p>
      <w:pPr>
        <w:spacing w:before="280" w:after="120"/>
      </w:pPr>
      <w:r>
        <w:rPr>
          <w:rFonts w:ascii="Arial" w:hAnsi="Arial"/>
          <w:b/>
          <w:color w:val="0A1F3F"/>
          <w:sz w:val="24"/>
        </w:rPr>
        <w:t>DATA FLOW INVENTORY</w:t>
      </w:r>
    </w:p>
    <w:tbl>
      <w:tblPr>
        <w:tblW w:type="auto" w:w="0"/>
        <w:jc w:val="center"/>
        <w:tblLayout w:type="autofit"/>
        <w:tblLook w:firstColumn="1" w:firstRow="1" w:lastColumn="0" w:lastRow="0" w:noHBand="0" w:noVBand="1" w:val="04A0"/>
      </w:tblPr>
      <w:tblGrid>
        <w:gridCol w:w="1440"/>
        <w:gridCol w:w="1440"/>
        <w:gridCol w:w="1440"/>
        <w:gridCol w:w="1440"/>
        <w:gridCol w:w="1440"/>
        <w:gridCol w:w="1440"/>
        <w:gridCol w:w="1440"/>
      </w:tblGrid>
      <w:tr>
        <w:tc>
          <w:tcPr>
            <w:tcW w:type="dxa" w:w="86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FLOW ID</w:t>
            </w:r>
          </w:p>
        </w:tc>
        <w:tc>
          <w:tcPr>
            <w:tcW w:type="dxa" w:w="115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TYPE</w:t>
            </w:r>
          </w:p>
        </w:tc>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SOURCE</w:t>
            </w:r>
          </w:p>
        </w:tc>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DESTINATION</w:t>
            </w:r>
          </w:p>
        </w:tc>
        <w:tc>
          <w:tcPr>
            <w:tcW w:type="dxa" w:w="158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METHOD</w:t>
            </w:r>
          </w:p>
        </w:tc>
        <w:tc>
          <w:tcPr>
            <w:tcW w:type="dxa" w:w="115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ENCRYPTED?</w:t>
            </w:r>
          </w:p>
        </w:tc>
        <w:tc>
          <w:tcPr>
            <w:tcW w:type="dxa" w:w="187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NOTES</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DF-001</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CTI]</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DoD Agency]</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[Engineering Server]</w:t>
            </w:r>
          </w:p>
        </w:tc>
        <w:tc>
          <w:tcPr>
            <w:tcW w:type="dxa" w:w="158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[Email/SFTP/VPN]</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DF-002</w:t>
            </w:r>
          </w:p>
        </w:tc>
        <w:tc>
          <w:tcPr>
            <w:tcW w:type="dxa" w:w="115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[Destination]</w:t>
            </w:r>
          </w:p>
        </w:tc>
        <w:tc>
          <w:tcPr>
            <w:tcW w:type="dxa" w:w="158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[Method]</w:t>
            </w:r>
          </w:p>
        </w:tc>
        <w:tc>
          <w:tcPr>
            <w:tcW w:type="dxa" w:w="115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DF-003</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[Destination]</w:t>
            </w:r>
          </w:p>
        </w:tc>
        <w:tc>
          <w:tcPr>
            <w:tcW w:type="dxa" w:w="158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[Method]</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DF-004</w:t>
            </w:r>
          </w:p>
        </w:tc>
        <w:tc>
          <w:tcPr>
            <w:tcW w:type="dxa" w:w="115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[Destination]</w:t>
            </w:r>
          </w:p>
        </w:tc>
        <w:tc>
          <w:tcPr>
            <w:tcW w:type="dxa" w:w="158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[Method]</w:t>
            </w:r>
          </w:p>
        </w:tc>
        <w:tc>
          <w:tcPr>
            <w:tcW w:type="dxa" w:w="115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DF-005</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[Destination]</w:t>
            </w:r>
          </w:p>
        </w:tc>
        <w:tc>
          <w:tcPr>
            <w:tcW w:type="dxa" w:w="158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[Method]</w:t>
            </w:r>
          </w:p>
        </w:tc>
        <w:tc>
          <w:tcPr>
            <w:tcW w:type="dxa" w:w="115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bl>
    <w:p>
      <w:pPr>
        <w:spacing w:before="280" w:after="120"/>
      </w:pPr>
      <w:r>
        <w:rPr>
          <w:rFonts w:ascii="Arial" w:hAnsi="Arial"/>
          <w:b/>
          <w:color w:val="0A1F3F"/>
          <w:sz w:val="24"/>
        </w:rPr>
        <w:t>DATA LIFECYCLE STAGES</w:t>
      </w:r>
    </w:p>
    <w:tbl>
      <w:tblPr>
        <w:tblW w:type="auto" w:w="0"/>
        <w:jc w:val="center"/>
        <w:tblLayout w:type="autofit"/>
        <w:tblLook w:firstColumn="1" w:firstRow="1" w:lastColumn="0" w:lastRow="0" w:noHBand="0" w:noVBand="1" w:val="04A0"/>
      </w:tblPr>
      <w:tblGrid>
        <w:gridCol w:w="2520"/>
        <w:gridCol w:w="2520"/>
        <w:gridCol w:w="2520"/>
        <w:gridCol w:w="2520"/>
      </w:tblGrid>
      <w:tr>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STAGE</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DESCRIPTION</w:t>
            </w:r>
          </w:p>
        </w:tc>
        <w:tc>
          <w:tcPr>
            <w:tcW w:type="dxa" w:w="230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SYSTEMS INVOLVED</w:t>
            </w:r>
          </w:p>
        </w:tc>
        <w:tc>
          <w:tcPr>
            <w:tcW w:type="dxa" w:w="374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CONTROLS IN PLACE</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Receipt</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How CUI enters your environment</w:t>
            </w:r>
          </w:p>
        </w:tc>
        <w:tc>
          <w:tcPr>
            <w:tcW w:type="dxa" w:w="230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systems]</w:t>
            </w:r>
          </w:p>
        </w:tc>
        <w:tc>
          <w:tcPr>
            <w:tcW w:type="dxa" w:w="374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encrypted email, SFTP]</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Storage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Where CUI is stored at rest</w:t>
            </w:r>
          </w:p>
        </w:tc>
        <w:tc>
          <w:tcPr>
            <w:tcW w:type="dxa" w:w="230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servers/drives]</w:t>
            </w:r>
          </w:p>
        </w:tc>
        <w:tc>
          <w:tcPr>
            <w:tcW w:type="dxa" w:w="374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AES-256 encryption, access controls]</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Processing</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Where CUI is actively used/modified</w:t>
            </w:r>
          </w:p>
        </w:tc>
        <w:tc>
          <w:tcPr>
            <w:tcW w:type="dxa" w:w="230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workstations/apps]</w:t>
            </w:r>
          </w:p>
        </w:tc>
        <w:tc>
          <w:tcPr>
            <w:tcW w:type="dxa" w:w="374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endpoint protection, DLP]</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Transmission</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How CUI is sent internally or externally</w:t>
            </w:r>
          </w:p>
        </w:tc>
        <w:tc>
          <w:tcPr>
            <w:tcW w:type="dxa" w:w="230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methods]</w:t>
            </w:r>
          </w:p>
        </w:tc>
        <w:tc>
          <w:tcPr>
            <w:tcW w:type="dxa" w:w="374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TLS 1.2+, VPN]</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Sharing</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How CUI is shared with subcontractors/partners</w:t>
            </w:r>
          </w:p>
        </w:tc>
        <w:tc>
          <w:tcPr>
            <w:tcW w:type="dxa" w:w="230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partners/methods]</w:t>
            </w:r>
          </w:p>
        </w:tc>
        <w:tc>
          <w:tcPr>
            <w:tcW w:type="dxa" w:w="374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encrypted file share]</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Archival</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How CUI is archived for long-term storage</w:t>
            </w:r>
          </w:p>
        </w:tc>
        <w:tc>
          <w:tcPr>
            <w:tcW w:type="dxa" w:w="230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archive systems]</w:t>
            </w:r>
          </w:p>
        </w:tc>
        <w:tc>
          <w:tcPr>
            <w:tcW w:type="dxa" w:w="374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encrypted backup, retention policy]</w:t>
            </w:r>
          </w:p>
        </w:tc>
      </w:tr>
      <w:tr>
        <w:tc>
          <w:tcPr>
            <w:tcW w:type="dxa" w:w="144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Destruction</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How CUI is disposed of when no longer needed</w:t>
            </w:r>
          </w:p>
        </w:tc>
        <w:tc>
          <w:tcPr>
            <w:tcW w:type="dxa" w:w="230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[List methods]</w:t>
            </w:r>
          </w:p>
        </w:tc>
        <w:tc>
          <w:tcPr>
            <w:tcW w:type="dxa" w:w="374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NIST 800-88 sanitization]</w:t>
            </w:r>
          </w:p>
        </w:tc>
      </w:tr>
    </w:tbl>
    <w:p>
      <w:pPr>
        <w:spacing w:before="280" w:after="120"/>
      </w:pPr>
      <w:r>
        <w:rPr>
          <w:rFonts w:ascii="Arial" w:hAnsi="Arial"/>
          <w:b/>
          <w:color w:val="0A1F3F"/>
          <w:sz w:val="24"/>
        </w:rPr>
        <w:t>PERSONNEL WITH CUI ACCESS</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201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NAME / ROLE</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DEPARTMENT</w:t>
            </w:r>
          </w:p>
        </w:tc>
        <w:tc>
          <w:tcPr>
            <w:tcW w:type="dxa" w:w="201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TYPES ACCESSED</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ACCESS JUSTIFICATION</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TRAINING CURRENT?</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[Dept]</w:t>
            </w:r>
          </w:p>
        </w:tc>
        <w:tc>
          <w:tcPr>
            <w:tcW w:type="dxa" w:w="201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types]</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[Business need]</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[Dept]</w:t>
            </w:r>
          </w:p>
        </w:tc>
        <w:tc>
          <w:tcPr>
            <w:tcW w:type="dxa" w:w="201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types]</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[Business need]</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[Dept]</w:t>
            </w:r>
          </w:p>
        </w:tc>
        <w:tc>
          <w:tcPr>
            <w:tcW w:type="dxa" w:w="201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types]</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[Business need]</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bl>
    <w:p>
      <w:pPr>
        <w:spacing w:before="280" w:after="120"/>
      </w:pPr>
      <w:r>
        <w:rPr>
          <w:rFonts w:ascii="Arial" w:hAnsi="Arial"/>
          <w:b/>
          <w:color w:val="0A1F3F"/>
          <w:sz w:val="24"/>
        </w:rPr>
        <w:t>DATA FLOW DIAGRAM PLACEHOLDER</w:t>
      </w:r>
    </w:p>
    <w:tbl>
      <w:tblPr>
        <w:tblW w:type="auto" w:w="0"/>
        <w:jc w:val="center"/>
        <w:tblLook w:firstColumn="1" w:firstRow="1" w:lastColumn="0" w:lastRow="0" w:noHBand="0" w:noVBand="1" w:val="04A0"/>
      </w:tblPr>
      <w:tblGrid>
        <w:gridCol w:w="10080"/>
      </w:tblGrid>
      <w:tr>
        <w:tc>
          <w:tcPr>
            <w:tcW w:type="dxa" w:w="10080"/>
            <w:shd w:fill="FFF8E7" w:val="clear"/>
            <w:tcBorders>
              <w:top w:val="single" w:sz="8" w:space="0" w:color="C8962E"/>
              <w:bottom w:val="single" w:sz="8" w:space="0" w:color="C8962E"/>
              <w:left w:val="single" w:sz="8" w:space="0" w:color="C8962E"/>
              <w:right w:val="single" w:sz="8" w:space="0" w:color="C8962E"/>
            </w:tcBorders>
          </w:tcPr>
          <w:p>
            <w:pPr>
              <w:spacing w:before="120" w:after="120"/>
              <w:jc w:val="center"/>
            </w:pPr>
            <w:r>
              <w:rPr>
                <w:rFonts w:ascii="Arial" w:hAnsi="Arial"/>
                <w:b/>
                <w:color w:val="0A1F3F"/>
                <w:sz w:val="20"/>
              </w:rPr>
              <w:t>Insert your CUI data flow diagram here.</w:t>
            </w:r>
          </w:p>
          <w:p>
            <w:pPr>
              <w:spacing w:before="120" w:after="120"/>
              <w:jc w:val="center"/>
            </w:pPr>
            <w:r>
              <w:rPr>
                <w:rFonts w:ascii="Arial" w:hAnsi="Arial"/>
                <w:b w:val="0"/>
                <w:color w:val="444444"/>
                <w:sz w:val="20"/>
              </w:rPr>
              <w:t>Show: data sources → systems → transmission paths → storage → disposal.</w:t>
            </w:r>
          </w:p>
          <w:p>
            <w:pPr>
              <w:spacing w:before="120" w:after="120"/>
              <w:jc w:val="center"/>
            </w:pPr>
            <w:r>
              <w:rPr>
                <w:rFonts w:ascii="Arial" w:hAnsi="Arial"/>
                <w:b w:val="0"/>
                <w:color w:val="444444"/>
                <w:sz w:val="20"/>
              </w:rPr>
              <w:t>Use tools like Visio, Lucidchart, or draw.io to create the diagram.</w:t>
            </w:r>
          </w:p>
        </w:tc>
      </w:tr>
    </w:tbl>
    <w:p>
      <w:pPr>
        <w:spacing w:before="280" w:after="120"/>
      </w:pPr>
      <w:r>
        <w:rPr>
          <w:rFonts w:ascii="Arial" w:hAnsi="Arial"/>
          <w:b/>
          <w:color w:val="0A1F3F"/>
          <w:sz w:val="24"/>
        </w:rPr>
        <w:t>REVIEW CHECKLIST</w:t>
      </w:r>
    </w:p>
    <w:p>
      <w:pPr>
        <w:spacing w:before="40" w:after="40"/>
        <w:ind w:left="360"/>
      </w:pPr>
      <w:r>
        <w:rPr>
          <w:rFonts w:ascii="Arial" w:hAnsi="Arial"/>
          <w:color w:val="C8962E"/>
          <w:sz w:val="24"/>
        </w:rPr>
        <w:t xml:space="preserve">☐  </w:t>
      </w:r>
      <w:r>
        <w:rPr>
          <w:rFonts w:ascii="Arial" w:hAnsi="Arial"/>
          <w:color w:val="333333"/>
          <w:sz w:val="19"/>
        </w:rPr>
        <w:t>All CUI data flows have been identified and documented.</w:t>
      </w:r>
    </w:p>
    <w:p>
      <w:pPr>
        <w:spacing w:before="40" w:after="40"/>
        <w:ind w:left="360"/>
      </w:pPr>
      <w:r>
        <w:rPr>
          <w:rFonts w:ascii="Arial" w:hAnsi="Arial"/>
          <w:color w:val="C8962E"/>
          <w:sz w:val="24"/>
        </w:rPr>
        <w:t xml:space="preserve">☐  </w:t>
      </w:r>
      <w:r>
        <w:rPr>
          <w:rFonts w:ascii="Arial" w:hAnsi="Arial"/>
          <w:color w:val="333333"/>
          <w:sz w:val="19"/>
        </w:rPr>
        <w:t>Every system touching CUI is included in the assessment boundary.</w:t>
      </w:r>
    </w:p>
    <w:p>
      <w:pPr>
        <w:spacing w:before="40" w:after="40"/>
        <w:ind w:left="360"/>
      </w:pPr>
      <w:r>
        <w:rPr>
          <w:rFonts w:ascii="Arial" w:hAnsi="Arial"/>
          <w:color w:val="C8962E"/>
          <w:sz w:val="24"/>
        </w:rPr>
        <w:t xml:space="preserve">☐  </w:t>
      </w:r>
      <w:r>
        <w:rPr>
          <w:rFonts w:ascii="Arial" w:hAnsi="Arial"/>
          <w:color w:val="333333"/>
          <w:sz w:val="19"/>
        </w:rPr>
        <w:t>Encryption is verified for all CUI transmission and storage paths.</w:t>
      </w:r>
    </w:p>
    <w:p>
      <w:pPr>
        <w:spacing w:before="40" w:after="40"/>
        <w:ind w:left="360"/>
      </w:pPr>
      <w:r>
        <w:rPr>
          <w:rFonts w:ascii="Arial" w:hAnsi="Arial"/>
          <w:color w:val="C8962E"/>
          <w:sz w:val="24"/>
        </w:rPr>
        <w:t xml:space="preserve">☐  </w:t>
      </w:r>
      <w:r>
        <w:rPr>
          <w:rFonts w:ascii="Arial" w:hAnsi="Arial"/>
          <w:color w:val="333333"/>
          <w:sz w:val="19"/>
        </w:rPr>
        <w:t>Personnel with CUI access have been identified and justified.</w:t>
      </w:r>
    </w:p>
    <w:p>
      <w:pPr>
        <w:spacing w:before="40" w:after="40"/>
        <w:ind w:left="360"/>
      </w:pPr>
      <w:r>
        <w:rPr>
          <w:rFonts w:ascii="Arial" w:hAnsi="Arial"/>
          <w:color w:val="C8962E"/>
          <w:sz w:val="24"/>
        </w:rPr>
        <w:t xml:space="preserve">☐  </w:t>
      </w:r>
      <w:r>
        <w:rPr>
          <w:rFonts w:ascii="Arial" w:hAnsi="Arial"/>
          <w:color w:val="333333"/>
          <w:sz w:val="19"/>
        </w:rPr>
        <w:t>Subcontractor/partner data flows are documented with flow-down requirements.</w:t>
      </w:r>
    </w:p>
    <w:p>
      <w:pPr>
        <w:spacing w:before="40" w:after="40"/>
        <w:ind w:left="360"/>
      </w:pPr>
      <w:r>
        <w:rPr>
          <w:rFonts w:ascii="Arial" w:hAnsi="Arial"/>
          <w:color w:val="C8962E"/>
          <w:sz w:val="24"/>
        </w:rPr>
        <w:t xml:space="preserve">☐  </w:t>
      </w:r>
      <w:r>
        <w:rPr>
          <w:rFonts w:ascii="Arial" w:hAnsi="Arial"/>
          <w:color w:val="333333"/>
          <w:sz w:val="19"/>
        </w:rPr>
        <w:t>Data flow diagram has been created and added to the SSP.</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