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Continuous Monitoring</w:t>
      </w:r>
    </w:p>
    <w:p>
      <w:pPr>
        <w:spacing w:before="0" w:after="80"/>
        <w:jc w:val="center"/>
      </w:pPr>
      <w:r>
        <w:rPr>
          <w:rFonts w:ascii="Arial" w:hAnsi="Arial"/>
          <w:color w:val="1A3A5C"/>
          <w:sz w:val="32"/>
        </w:rPr>
        <w:t>Plan Template</w:t>
      </w:r>
    </w:p>
    <w:p>
      <w:pPr>
        <w:spacing w:before="0" w:after="120"/>
        <w:jc w:val="center"/>
      </w:pPr>
      <w:r>
        <w:rPr>
          <w:rFonts w:ascii="Arial" w:hAnsi="Arial"/>
          <w:color w:val="999999"/>
          <w:sz w:val="18"/>
        </w:rPr>
        <w:t>Lesson 8.15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CMMC compliance is not a one-time event — it requires continuous monitoring to ensure controls remain effective. This template helps you build a continuous monitoring plan that defines what to monitor, how often, who is responsible, and how issues are escalated. Complete this template and reference it in your SSP. Assessors will verify that you have a credible, operational monitoring strategy.</w:t>
      </w:r>
    </w:p>
    <w:p>
      <w:pPr>
        <w:spacing w:before="280" w:after="120"/>
      </w:pPr>
      <w:r>
        <w:rPr>
          <w:rFonts w:ascii="Arial" w:hAnsi="Arial"/>
          <w:b/>
          <w:color w:val="0A1F3F"/>
          <w:sz w:val="24"/>
        </w:rPr>
        <w:t>MONITORING PLAN OVERVIEW</w:t>
      </w:r>
    </w:p>
    <w:tbl>
      <w:tblPr>
        <w:tblW w:type="auto" w:w="0"/>
        <w:jc w:val="center"/>
        <w:tblLayout w:type="autofit"/>
        <w:tblLook w:firstColumn="1" w:firstRow="1" w:lastColumn="0" w:lastRow="0" w:noHBand="0" w:noVBand="1" w:val="04A0"/>
      </w:tblPr>
      <w:tblGrid>
        <w:gridCol w:w="5040"/>
        <w:gridCol w:w="5040"/>
      </w:tblGrid>
      <w:tr>
        <w:tc>
          <w:tcPr>
            <w:tcW w:type="dxa" w:w="36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FIELD</w:t>
            </w:r>
          </w:p>
        </w:tc>
        <w:tc>
          <w:tcPr>
            <w:tcW w:type="dxa" w:w="64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VALUE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Organization</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[Name]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System Name</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[From SSP]</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Plan Owner</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[Name, Title]</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Plan Version</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[X.X]</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Effective Date</w:t>
            </w:r>
          </w:p>
        </w:tc>
        <w:tc>
          <w:tcPr>
            <w:tcW w:type="dxa" w:w="648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[MM/DD/YYYY]</w:t>
            </w:r>
          </w:p>
        </w:tc>
      </w:tr>
      <w:tr>
        <w:tc>
          <w:tcPr>
            <w:tcW w:type="dxa" w:w="360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Review Frequency</w:t>
            </w:r>
          </w:p>
        </w:tc>
        <w:tc>
          <w:tcPr>
            <w:tcW w:type="dxa" w:w="648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Quarterly review of plan, annual update]</w:t>
            </w:r>
          </w:p>
        </w:tc>
      </w:tr>
    </w:tbl>
    <w:p>
      <w:pPr>
        <w:spacing w:before="280" w:after="120"/>
      </w:pPr>
      <w:r>
        <w:rPr>
          <w:rFonts w:ascii="Arial" w:hAnsi="Arial"/>
          <w:b/>
          <w:color w:val="0A1F3F"/>
          <w:sz w:val="24"/>
        </w:rPr>
        <w:t>MONITORING ACTIVITIES</w:t>
      </w:r>
    </w:p>
    <w:tbl>
      <w:tblPr>
        <w:tblW w:type="auto" w:w="0"/>
        <w:jc w:val="center"/>
        <w:tblLayout w:type="autofit"/>
        <w:tblLook w:firstColumn="1" w:firstRow="1" w:lastColumn="0" w:lastRow="0" w:noHBand="0" w:noVBand="1" w:val="04A0"/>
      </w:tblPr>
      <w:tblGrid>
        <w:gridCol w:w="2016"/>
        <w:gridCol w:w="2016"/>
        <w:gridCol w:w="2016"/>
        <w:gridCol w:w="2016"/>
        <w:gridCol w:w="2016"/>
      </w:tblGrid>
      <w:tr>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ACTIVITY</w:t>
            </w:r>
          </w:p>
        </w:tc>
        <w:tc>
          <w:tcPr>
            <w:tcW w:type="dxa" w:w="144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FREQUENCY</w:t>
            </w:r>
          </w:p>
        </w:tc>
        <w:tc>
          <w:tcPr>
            <w:tcW w:type="dxa" w:w="187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TOOL/METHOD</w:t>
            </w:r>
          </w:p>
        </w:tc>
        <w:tc>
          <w:tcPr>
            <w:tcW w:type="dxa" w:w="129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RESPONSIBLE</w:t>
            </w:r>
          </w:p>
        </w:tc>
        <w:tc>
          <w:tcPr>
            <w:tcW w:type="dxa" w:w="259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EVIDENCE PRODUCED</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Vulnerability Scanning</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[Monthly]</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[Scanner name]</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Scan reports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Patch Management Review</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[Monthly]</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[WSUS/SCCM/etc.]</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Patch compliance report</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Access Review</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[Quarterly]</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[Manual/IAM tool]</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Access review records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Audit Log Review</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[Weekly]</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[SIEM tool]</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Review reports, alerts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Configuration Compliance Check</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[Monthly]</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[Tool/Manual]</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Compliance scan results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Security Training Verification</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[Annually]</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[LMS platform]</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Completion records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Incident Response Test</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[Annually]</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[Tabletop exercise]</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Exercise after-action report</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POA&amp;M Progress Review</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[Monthly]</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[Manual review]</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Updated POA&amp;M</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Physical Security Inspection</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[Quarterly]</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[Walk-through]</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Inspection report</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Backup and Recovery Test</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[Quarterly]</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[Test restore]</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Test results log</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Antivirus/Endpoint Check</w:t>
            </w:r>
          </w:p>
        </w:tc>
        <w:tc>
          <w:tcPr>
            <w:tcW w:type="dxa" w:w="144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[Daily/Auto]</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[EDR/AV tool]</w:t>
            </w:r>
          </w:p>
        </w:tc>
        <w:tc>
          <w:tcPr>
            <w:tcW w:type="dxa" w:w="1296"/>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Dashboard/alerts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Network Traffic Monitoring</w:t>
            </w:r>
          </w:p>
        </w:tc>
        <w:tc>
          <w:tcPr>
            <w:tcW w:type="dxa" w:w="144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[Continuous]</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[Firewall/IDS]</w:t>
            </w:r>
          </w:p>
        </w:tc>
        <w:tc>
          <w:tcPr>
            <w:tcW w:type="dxa" w:w="1296"/>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[Role]</w:t>
            </w:r>
          </w:p>
        </w:tc>
        <w:tc>
          <w:tcPr>
            <w:tcW w:type="dxa" w:w="259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Alerts, traffic logs</w:t>
            </w:r>
          </w:p>
        </w:tc>
      </w:tr>
    </w:tbl>
    <w:p>
      <w:pPr>
        <w:spacing w:before="280" w:after="120"/>
      </w:pPr>
      <w:r>
        <w:rPr>
          <w:rFonts w:ascii="Arial" w:hAnsi="Arial"/>
          <w:b/>
          <w:color w:val="0A1F3F"/>
          <w:sz w:val="24"/>
        </w:rPr>
        <w:t>ESCALATION PROCEDURES</w:t>
      </w:r>
    </w:p>
    <w:p>
      <w:pPr>
        <w:spacing w:before="80" w:after="20"/>
        <w:ind w:left="360"/>
      </w:pPr>
      <w:r>
        <w:rPr>
          <w:rFonts w:ascii="Arial" w:hAnsi="Arial"/>
          <w:b/>
          <w:color w:val="0A1F3F"/>
          <w:sz w:val="20"/>
        </w:rPr>
        <w:t>1. Finding Detected</w:t>
      </w:r>
    </w:p>
    <w:p>
      <w:pPr>
        <w:spacing w:before="0" w:after="80"/>
        <w:ind w:left="720"/>
      </w:pPr>
      <w:r>
        <w:rPr>
          <w:rFonts w:ascii="Arial" w:hAnsi="Arial"/>
          <w:color w:val="444444"/>
          <w:sz w:val="18"/>
        </w:rPr>
        <w:t>Monitoring activity reveals a non-compliance or security issue.</w:t>
      </w:r>
    </w:p>
    <w:p>
      <w:pPr>
        <w:spacing w:before="80" w:after="20"/>
        <w:ind w:left="360"/>
      </w:pPr>
      <w:r>
        <w:rPr>
          <w:rFonts w:ascii="Arial" w:hAnsi="Arial"/>
          <w:b/>
          <w:color w:val="0A1F3F"/>
          <w:sz w:val="20"/>
        </w:rPr>
        <w:t>2. Severity Assessment</w:t>
      </w:r>
    </w:p>
    <w:p>
      <w:pPr>
        <w:spacing w:before="0" w:after="80"/>
        <w:ind w:left="720"/>
      </w:pPr>
      <w:r>
        <w:rPr>
          <w:rFonts w:ascii="Arial" w:hAnsi="Arial"/>
          <w:color w:val="444444"/>
          <w:sz w:val="18"/>
        </w:rPr>
        <w:t>Classify as Critical, High, Medium, or Low based on impact to CUI protection.</w:t>
      </w:r>
    </w:p>
    <w:p>
      <w:pPr>
        <w:spacing w:before="80" w:after="20"/>
        <w:ind w:left="360"/>
      </w:pPr>
      <w:r>
        <w:rPr>
          <w:rFonts w:ascii="Arial" w:hAnsi="Arial"/>
          <w:b/>
          <w:color w:val="0A1F3F"/>
          <w:sz w:val="20"/>
        </w:rPr>
        <w:t>3. Notification</w:t>
      </w:r>
    </w:p>
    <w:p>
      <w:pPr>
        <w:spacing w:before="0" w:after="80"/>
        <w:ind w:left="720"/>
      </w:pPr>
      <w:r>
        <w:rPr>
          <w:rFonts w:ascii="Arial" w:hAnsi="Arial"/>
          <w:color w:val="444444"/>
          <w:sz w:val="18"/>
        </w:rPr>
        <w:t>Critical/High: Notify security manager and system owner within 24 hours. Medium/Low: Include in next scheduled review.</w:t>
      </w:r>
    </w:p>
    <w:p>
      <w:pPr>
        <w:spacing w:before="80" w:after="20"/>
        <w:ind w:left="360"/>
      </w:pPr>
      <w:r>
        <w:rPr>
          <w:rFonts w:ascii="Arial" w:hAnsi="Arial"/>
          <w:b/>
          <w:color w:val="0A1F3F"/>
          <w:sz w:val="20"/>
        </w:rPr>
        <w:t>4. Remediation</w:t>
      </w:r>
    </w:p>
    <w:p>
      <w:pPr>
        <w:spacing w:before="0" w:after="80"/>
        <w:ind w:left="720"/>
      </w:pPr>
      <w:r>
        <w:rPr>
          <w:rFonts w:ascii="Arial" w:hAnsi="Arial"/>
          <w:color w:val="444444"/>
          <w:sz w:val="18"/>
        </w:rPr>
        <w:t>Assign owner, create or update POA&amp;M item, implement fix.</w:t>
      </w:r>
    </w:p>
    <w:p>
      <w:pPr>
        <w:spacing w:before="80" w:after="20"/>
        <w:ind w:left="360"/>
      </w:pPr>
      <w:r>
        <w:rPr>
          <w:rFonts w:ascii="Arial" w:hAnsi="Arial"/>
          <w:b/>
          <w:color w:val="0A1F3F"/>
          <w:sz w:val="20"/>
        </w:rPr>
        <w:t>5. Verification</w:t>
      </w:r>
    </w:p>
    <w:p>
      <w:pPr>
        <w:spacing w:before="0" w:after="80"/>
        <w:ind w:left="720"/>
      </w:pPr>
      <w:r>
        <w:rPr>
          <w:rFonts w:ascii="Arial" w:hAnsi="Arial"/>
          <w:color w:val="444444"/>
          <w:sz w:val="18"/>
        </w:rPr>
        <w:t>Confirm the fix is effective through re-testing or re-scanning.</w:t>
      </w:r>
    </w:p>
    <w:p>
      <w:pPr>
        <w:spacing w:before="80" w:after="20"/>
        <w:ind w:left="360"/>
      </w:pPr>
      <w:r>
        <w:rPr>
          <w:rFonts w:ascii="Arial" w:hAnsi="Arial"/>
          <w:b/>
          <w:color w:val="0A1F3F"/>
          <w:sz w:val="20"/>
        </w:rPr>
        <w:t>6. Documentation</w:t>
      </w:r>
    </w:p>
    <w:p>
      <w:pPr>
        <w:spacing w:before="0" w:after="80"/>
        <w:ind w:left="720"/>
      </w:pPr>
      <w:r>
        <w:rPr>
          <w:rFonts w:ascii="Arial" w:hAnsi="Arial"/>
          <w:color w:val="444444"/>
          <w:sz w:val="18"/>
        </w:rPr>
        <w:t>Update SSP, POA&amp;M, and monitoring records. File evidence of remediation.</w:t>
      </w:r>
    </w:p>
    <w:p>
      <w:pPr>
        <w:spacing w:before="280" w:after="120"/>
      </w:pPr>
      <w:r>
        <w:rPr>
          <w:rFonts w:ascii="Arial" w:hAnsi="Arial"/>
          <w:b/>
          <w:color w:val="0A1F3F"/>
          <w:sz w:val="24"/>
        </w:rPr>
        <w:t>ANNUAL MONITORING CALENDAR</w:t>
      </w:r>
    </w:p>
    <w:tbl>
      <w:tblPr>
        <w:tblW w:type="auto" w:w="0"/>
        <w:jc w:val="center"/>
        <w:tblLayout w:type="autofit"/>
        <w:tblLook w:firstColumn="1" w:firstRow="1" w:lastColumn="0" w:lastRow="0" w:noHBand="0" w:noVBand="1" w:val="04A0"/>
      </w:tblPr>
      <w:tblGrid>
        <w:gridCol w:w="5040"/>
        <w:gridCol w:w="5040"/>
      </w:tblGrid>
      <w:tr>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MONTH</w:t>
            </w:r>
          </w:p>
        </w:tc>
        <w:tc>
          <w:tcPr>
            <w:tcW w:type="dxa" w:w="79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KEY MONITORING ACTIVITIES</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January</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 risk assessment, training program launch</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February</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Vulnerability scan, patch review, access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March</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Configuration compliance check, POA&amp;M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April</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Incident response tabletop exercise</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May</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Vulnerability scan, patch review, physical inspection</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June</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Mid-year SSP review, POA&amp;M progress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July</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Backup/recovery test, access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August</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Vulnerability scan, patch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September</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Configuration compliance check, POA&amp;M review</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October</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 security awareness training renewal</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November</w:t>
            </w:r>
          </w:p>
        </w:tc>
        <w:tc>
          <w:tcPr>
            <w:tcW w:type="dxa" w:w="79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Vulnerability scan, patch review, physical inspection</w:t>
            </w:r>
          </w:p>
        </w:tc>
      </w:tr>
      <w:tr>
        <w:tc>
          <w:tcPr>
            <w:tcW w:type="dxa" w:w="216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December</w:t>
            </w:r>
          </w:p>
        </w:tc>
        <w:tc>
          <w:tcPr>
            <w:tcW w:type="dxa" w:w="79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Annual SSP update, POA&amp;M final review, plan next year</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