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80"/>
        <w:jc w:val="center"/>
      </w:pPr>
      <w:r>
        <w:rPr>
          <w:rFonts w:ascii="Arial" w:hAnsi="Arial"/>
          <w:b/>
          <w:color w:val="C8962E"/>
          <w:sz w:val="18"/>
        </w:rPr>
        <w:t>CMMC TRAINING PROGRAM — COURSE 1</w:t>
      </w:r>
    </w:p>
    <w:p>
      <w:pPr>
        <w:spacing w:before="0" w:after="40"/>
        <w:jc w:val="center"/>
      </w:pPr>
      <w:r>
        <w:rPr>
          <w:rFonts w:ascii="Arial" w:hAnsi="Arial"/>
          <w:b/>
          <w:color w:val="0A1F3F"/>
          <w:sz w:val="52"/>
        </w:rPr>
        <w:t>Evidence Collection</w:t>
      </w:r>
    </w:p>
    <w:p>
      <w:pPr>
        <w:spacing w:before="0" w:after="80"/>
        <w:jc w:val="center"/>
      </w:pPr>
      <w:r>
        <w:rPr>
          <w:rFonts w:ascii="Arial" w:hAnsi="Arial"/>
          <w:color w:val="1A3A5C"/>
          <w:sz w:val="32"/>
        </w:rPr>
        <w:t>Guide &amp; Checklist</w:t>
      </w:r>
    </w:p>
    <w:p>
      <w:pPr>
        <w:spacing w:before="0" w:after="120"/>
        <w:jc w:val="center"/>
      </w:pPr>
      <w:r>
        <w:rPr>
          <w:rFonts w:ascii="Arial" w:hAnsi="Arial"/>
          <w:color w:val="999999"/>
          <w:sz w:val="18"/>
        </w:rPr>
        <w:t>Lesson 8.11 — Resource Document</w:t>
      </w:r>
    </w:p>
    <w:p>
      <w:pPr>
        <w:spacing w:before="40" w:after="40"/>
        <w:pBdr>
          <w:bottom w:val="single" w:sz="12" w:space="1" w:color="C8962E"/>
        </w:pBdr>
      </w:pPr>
    </w:p>
    <w:p>
      <w:pPr>
        <w:spacing w:before="240" w:after="80"/>
      </w:pPr>
      <w:r>
        <w:rPr>
          <w:rFonts w:ascii="Arial" w:hAnsi="Arial"/>
          <w:b/>
          <w:color w:val="0A1F3F"/>
          <w:sz w:val="22"/>
        </w:rPr>
        <w:t>INSTRUCTIONS</w:t>
      </w:r>
    </w:p>
    <w:p>
      <w:pPr>
        <w:spacing w:before="0" w:after="160"/>
      </w:pPr>
      <w:r>
        <w:rPr>
          <w:rFonts w:ascii="Arial" w:hAnsi="Arial"/>
          <w:color w:val="444444"/>
          <w:sz w:val="20"/>
        </w:rPr>
        <w:t>During a CMMC assessment, you must provide evidence that each control is implemented and effective. This guide explains what types of evidence assessors accept and provides a checklist organized by control family. Start collecting evidence well before your assessment — last-minute evidence gathering is stressful, error-prone, and can delay your certification.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TYPES OF ACCEPTABLE EVIDENCE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360"/>
        <w:gridCol w:w="3360"/>
        <w:gridCol w:w="3360"/>
      </w:tblGrid>
      <w:tr>
        <w:tc>
          <w:tcPr>
            <w:tcW w:type="dxa" w:w="1872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EVIDENCE TYPE</w:t>
            </w:r>
          </w:p>
        </w:tc>
        <w:tc>
          <w:tcPr>
            <w:tcW w:type="dxa" w:w="360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DESCRIPTION</w:t>
            </w:r>
          </w:p>
        </w:tc>
        <w:tc>
          <w:tcPr>
            <w:tcW w:type="dxa" w:w="4608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EXAMPLES</w:t>
            </w:r>
          </w:p>
        </w:tc>
      </w:tr>
      <w:tr>
        <w:tc>
          <w:tcPr>
            <w:tcW w:type="dxa" w:w="1872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Documentation</w:t>
            </w:r>
          </w:p>
        </w:tc>
        <w:tc>
          <w:tcPr>
            <w:tcW w:type="dxa" w:w="36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Written policies, procedures, plans, and records</w:t>
            </w:r>
          </w:p>
        </w:tc>
        <w:tc>
          <w:tcPr>
            <w:tcW w:type="dxa" w:w="460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SSP, POA&amp;M, policies, procedures, training records</w:t>
            </w:r>
          </w:p>
        </w:tc>
      </w:tr>
      <w:tr>
        <w:tc>
          <w:tcPr>
            <w:tcW w:type="dxa" w:w="1872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Configuration Screenshots</w:t>
            </w:r>
          </w:p>
        </w:tc>
        <w:tc>
          <w:tcPr>
            <w:tcW w:type="dxa" w:w="36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Screen captures showing system settings and configurations</w:t>
            </w:r>
          </w:p>
        </w:tc>
        <w:tc>
          <w:tcPr>
            <w:tcW w:type="dxa" w:w="460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GPO settings, firewall rules, MFA enrollment, AV config</w:t>
            </w:r>
          </w:p>
        </w:tc>
      </w:tr>
      <w:tr>
        <w:tc>
          <w:tcPr>
            <w:tcW w:type="dxa" w:w="1872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System Outputs</w:t>
            </w:r>
          </w:p>
        </w:tc>
        <w:tc>
          <w:tcPr>
            <w:tcW w:type="dxa" w:w="36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Reports and logs generated by systems</w:t>
            </w:r>
          </w:p>
        </w:tc>
        <w:tc>
          <w:tcPr>
            <w:tcW w:type="dxa" w:w="460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Audit logs, SIEM reports, vulnerability scan results</w:t>
            </w:r>
          </w:p>
        </w:tc>
      </w:tr>
      <w:tr>
        <w:tc>
          <w:tcPr>
            <w:tcW w:type="dxa" w:w="1872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Interviews</w:t>
            </w:r>
          </w:p>
        </w:tc>
        <w:tc>
          <w:tcPr>
            <w:tcW w:type="dxa" w:w="36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Verbal confirmation from personnel about practices</w:t>
            </w:r>
          </w:p>
        </w:tc>
        <w:tc>
          <w:tcPr>
            <w:tcW w:type="dxa" w:w="460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Assessor interviews with IT, security, and management staff</w:t>
            </w:r>
          </w:p>
        </w:tc>
      </w:tr>
      <w:tr>
        <w:tc>
          <w:tcPr>
            <w:tcW w:type="dxa" w:w="1872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Demonstrations</w:t>
            </w:r>
          </w:p>
        </w:tc>
        <w:tc>
          <w:tcPr>
            <w:tcW w:type="dxa" w:w="36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Live walk-throughs of processes and controls</w:t>
            </w:r>
          </w:p>
        </w:tc>
        <w:tc>
          <w:tcPr>
            <w:tcW w:type="dxa" w:w="460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Account provisioning demo, incident response tabletop</w:t>
            </w:r>
          </w:p>
        </w:tc>
      </w:tr>
      <w:tr>
        <w:tc>
          <w:tcPr>
            <w:tcW w:type="dxa" w:w="1872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Third-Party Reports</w:t>
            </w:r>
          </w:p>
        </w:tc>
        <w:tc>
          <w:tcPr>
            <w:tcW w:type="dxa" w:w="36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External validation from vendors or auditors</w:t>
            </w:r>
          </w:p>
        </w:tc>
        <w:tc>
          <w:tcPr>
            <w:tcW w:type="dxa" w:w="460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Penetration test results, SOC 2 reports, vendor certifications</w:t>
            </w:r>
          </w:p>
        </w:tc>
      </w:tr>
    </w:tbl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EVIDENCE CHECKLIST BY CONTROL FAMILY</w:t>
      </w:r>
    </w:p>
    <w:p>
      <w:pPr>
        <w:spacing w:before="120" w:after="20"/>
      </w:pPr>
      <w:r>
        <w:rPr>
          <w:rFonts w:ascii="Arial" w:hAnsi="Arial"/>
          <w:b/>
          <w:color w:val="0A1F3F"/>
          <w:sz w:val="20"/>
        </w:rPr>
        <w:t>Access Control (AC)</w:t>
      </w:r>
    </w:p>
    <w:p>
      <w:pPr>
        <w:spacing w:before="0" w:after="60"/>
        <w:ind w:left="432"/>
      </w:pPr>
      <w:r>
        <w:rPr>
          <w:rFonts w:ascii="Arial" w:hAnsi="Arial"/>
          <w:color w:val="444444"/>
          <w:sz w:val="18"/>
        </w:rPr>
        <w:t>User access list, role matrix, GPO screenshots, MFA configuration, account review records, remote access policy</w:t>
      </w:r>
    </w:p>
    <w:p>
      <w:pPr>
        <w:spacing w:before="120" w:after="20"/>
      </w:pPr>
      <w:r>
        <w:rPr>
          <w:rFonts w:ascii="Arial" w:hAnsi="Arial"/>
          <w:b/>
          <w:color w:val="0A1F3F"/>
          <w:sz w:val="20"/>
        </w:rPr>
        <w:t>Awareness &amp; Training (AT)</w:t>
      </w:r>
    </w:p>
    <w:p>
      <w:pPr>
        <w:spacing w:before="0" w:after="60"/>
        <w:ind w:left="432"/>
      </w:pPr>
      <w:r>
        <w:rPr>
          <w:rFonts w:ascii="Arial" w:hAnsi="Arial"/>
          <w:color w:val="444444"/>
          <w:sz w:val="18"/>
        </w:rPr>
        <w:t>Training materials, attendance records, completion certificates, phishing test results, training schedule</w:t>
      </w:r>
    </w:p>
    <w:p>
      <w:pPr>
        <w:spacing w:before="120" w:after="20"/>
      </w:pPr>
      <w:r>
        <w:rPr>
          <w:rFonts w:ascii="Arial" w:hAnsi="Arial"/>
          <w:b/>
          <w:color w:val="0A1F3F"/>
          <w:sz w:val="20"/>
        </w:rPr>
        <w:t>Audit &amp; Accountability (AU)</w:t>
      </w:r>
    </w:p>
    <w:p>
      <w:pPr>
        <w:spacing w:before="0" w:after="60"/>
        <w:ind w:left="432"/>
      </w:pPr>
      <w:r>
        <w:rPr>
          <w:rFonts w:ascii="Arial" w:hAnsi="Arial"/>
          <w:color w:val="444444"/>
          <w:sz w:val="18"/>
        </w:rPr>
        <w:t>Audit log samples, SIEM dashboard screenshots, log retention policy, audit review records</w:t>
      </w:r>
    </w:p>
    <w:p>
      <w:pPr>
        <w:spacing w:before="120" w:after="20"/>
      </w:pPr>
      <w:r>
        <w:rPr>
          <w:rFonts w:ascii="Arial" w:hAnsi="Arial"/>
          <w:b/>
          <w:color w:val="0A1F3F"/>
          <w:sz w:val="20"/>
        </w:rPr>
        <w:t>Configuration Mgmt (CM)</w:t>
      </w:r>
    </w:p>
    <w:p>
      <w:pPr>
        <w:spacing w:before="0" w:after="60"/>
        <w:ind w:left="432"/>
      </w:pPr>
      <w:r>
        <w:rPr>
          <w:rFonts w:ascii="Arial" w:hAnsi="Arial"/>
          <w:color w:val="444444"/>
          <w:sz w:val="18"/>
        </w:rPr>
        <w:t>Baseline configuration docs, change management records, software inventory, hardening guides applied</w:t>
      </w:r>
    </w:p>
    <w:p>
      <w:pPr>
        <w:spacing w:before="120" w:after="20"/>
      </w:pPr>
      <w:r>
        <w:rPr>
          <w:rFonts w:ascii="Arial" w:hAnsi="Arial"/>
          <w:b/>
          <w:color w:val="0A1F3F"/>
          <w:sz w:val="20"/>
        </w:rPr>
        <w:t>Identification &amp; Auth (IA)</w:t>
      </w:r>
    </w:p>
    <w:p>
      <w:pPr>
        <w:spacing w:before="0" w:after="60"/>
        <w:ind w:left="432"/>
      </w:pPr>
      <w:r>
        <w:rPr>
          <w:rFonts w:ascii="Arial" w:hAnsi="Arial"/>
          <w:color w:val="444444"/>
          <w:sz w:val="18"/>
        </w:rPr>
        <w:t>MFA enrollment evidence, password policy GPO, account management procedures, authenticator management</w:t>
      </w:r>
    </w:p>
    <w:p>
      <w:pPr>
        <w:spacing w:before="120" w:after="20"/>
      </w:pPr>
      <w:r>
        <w:rPr>
          <w:rFonts w:ascii="Arial" w:hAnsi="Arial"/>
          <w:b/>
          <w:color w:val="0A1F3F"/>
          <w:sz w:val="20"/>
        </w:rPr>
        <w:t>Incident Response (IR)</w:t>
      </w:r>
    </w:p>
    <w:p>
      <w:pPr>
        <w:spacing w:before="0" w:after="60"/>
        <w:ind w:left="432"/>
      </w:pPr>
      <w:r>
        <w:rPr>
          <w:rFonts w:ascii="Arial" w:hAnsi="Arial"/>
          <w:color w:val="444444"/>
          <w:sz w:val="18"/>
        </w:rPr>
        <w:t>IR plan, tabletop exercise records, incident log, DIBNet reporting procedure, contact lists</w:t>
      </w:r>
    </w:p>
    <w:p>
      <w:pPr>
        <w:spacing w:before="120" w:after="20"/>
      </w:pPr>
      <w:r>
        <w:rPr>
          <w:rFonts w:ascii="Arial" w:hAnsi="Arial"/>
          <w:b/>
          <w:color w:val="0A1F3F"/>
          <w:sz w:val="20"/>
        </w:rPr>
        <w:t>Maintenance (MA)</w:t>
      </w:r>
    </w:p>
    <w:p>
      <w:pPr>
        <w:spacing w:before="0" w:after="60"/>
        <w:ind w:left="432"/>
      </w:pPr>
      <w:r>
        <w:rPr>
          <w:rFonts w:ascii="Arial" w:hAnsi="Arial"/>
          <w:color w:val="444444"/>
          <w:sz w:val="18"/>
        </w:rPr>
        <w:t>Maintenance logs, remote maintenance procedures, approved tools list, maintenance personnel authorization</w:t>
      </w:r>
    </w:p>
    <w:p>
      <w:pPr>
        <w:spacing w:before="120" w:after="20"/>
      </w:pPr>
      <w:r>
        <w:rPr>
          <w:rFonts w:ascii="Arial" w:hAnsi="Arial"/>
          <w:b/>
          <w:color w:val="0A1F3F"/>
          <w:sz w:val="20"/>
        </w:rPr>
        <w:t>Media Protection (MP)</w:t>
      </w:r>
    </w:p>
    <w:p>
      <w:pPr>
        <w:spacing w:before="0" w:after="60"/>
        <w:ind w:left="432"/>
      </w:pPr>
      <w:r>
        <w:rPr>
          <w:rFonts w:ascii="Arial" w:hAnsi="Arial"/>
          <w:color w:val="444444"/>
          <w:sz w:val="18"/>
        </w:rPr>
        <w:t>Media sanitization records, CUI marking procedures, transport logs, encryption evidence for portable media</w:t>
      </w:r>
    </w:p>
    <w:p>
      <w:pPr>
        <w:spacing w:before="120" w:after="20"/>
      </w:pPr>
      <w:r>
        <w:rPr>
          <w:rFonts w:ascii="Arial" w:hAnsi="Arial"/>
          <w:b/>
          <w:color w:val="0A1F3F"/>
          <w:sz w:val="20"/>
        </w:rPr>
        <w:t>Personnel Security (PS)</w:t>
      </w:r>
    </w:p>
    <w:p>
      <w:pPr>
        <w:spacing w:before="0" w:after="60"/>
        <w:ind w:left="432"/>
      </w:pPr>
      <w:r>
        <w:rPr>
          <w:rFonts w:ascii="Arial" w:hAnsi="Arial"/>
          <w:color w:val="444444"/>
          <w:sz w:val="18"/>
        </w:rPr>
        <w:t>Background check records, access revocation procedures, termination checklists, transfer procedures</w:t>
      </w:r>
    </w:p>
    <w:p>
      <w:pPr>
        <w:spacing w:before="120" w:after="20"/>
      </w:pPr>
      <w:r>
        <w:rPr>
          <w:rFonts w:ascii="Arial" w:hAnsi="Arial"/>
          <w:b/>
          <w:color w:val="0A1F3F"/>
          <w:sz w:val="20"/>
        </w:rPr>
        <w:t>Physical Protection (PE)</w:t>
      </w:r>
    </w:p>
    <w:p>
      <w:pPr>
        <w:spacing w:before="0" w:after="60"/>
        <w:ind w:left="432"/>
      </w:pPr>
      <w:r>
        <w:rPr>
          <w:rFonts w:ascii="Arial" w:hAnsi="Arial"/>
          <w:color w:val="444444"/>
          <w:sz w:val="18"/>
        </w:rPr>
        <w:t>Badge access logs, visitor logs, camera system evidence, physical access authorization list</w:t>
      </w:r>
    </w:p>
    <w:p>
      <w:pPr>
        <w:spacing w:before="120" w:after="20"/>
      </w:pPr>
      <w:r>
        <w:rPr>
          <w:rFonts w:ascii="Arial" w:hAnsi="Arial"/>
          <w:b/>
          <w:color w:val="0A1F3F"/>
          <w:sz w:val="20"/>
        </w:rPr>
        <w:t>Risk Assessment (RA)</w:t>
      </w:r>
    </w:p>
    <w:p>
      <w:pPr>
        <w:spacing w:before="0" w:after="60"/>
        <w:ind w:left="432"/>
      </w:pPr>
      <w:r>
        <w:rPr>
          <w:rFonts w:ascii="Arial" w:hAnsi="Arial"/>
          <w:color w:val="444444"/>
          <w:sz w:val="18"/>
        </w:rPr>
        <w:t>Risk assessment report, vulnerability scan results, remediation tracking, scan schedule</w:t>
      </w:r>
    </w:p>
    <w:p>
      <w:pPr>
        <w:spacing w:before="120" w:after="20"/>
      </w:pPr>
      <w:r>
        <w:rPr>
          <w:rFonts w:ascii="Arial" w:hAnsi="Arial"/>
          <w:b/>
          <w:color w:val="0A1F3F"/>
          <w:sz w:val="20"/>
        </w:rPr>
        <w:t>Security Assessment (CA)</w:t>
      </w:r>
    </w:p>
    <w:p>
      <w:pPr>
        <w:spacing w:before="0" w:after="60"/>
        <w:ind w:left="432"/>
      </w:pPr>
      <w:r>
        <w:rPr>
          <w:rFonts w:ascii="Arial" w:hAnsi="Arial"/>
          <w:color w:val="444444"/>
          <w:sz w:val="18"/>
        </w:rPr>
        <w:t>Self-assessment report, POA&amp;M, continuous monitoring plan, security control test results</w:t>
      </w:r>
    </w:p>
    <w:p>
      <w:pPr>
        <w:spacing w:before="120" w:after="20"/>
      </w:pPr>
      <w:r>
        <w:rPr>
          <w:rFonts w:ascii="Arial" w:hAnsi="Arial"/>
          <w:b/>
          <w:color w:val="0A1F3F"/>
          <w:sz w:val="20"/>
        </w:rPr>
        <w:t>System &amp; Comm Protection (SC)</w:t>
      </w:r>
    </w:p>
    <w:p>
      <w:pPr>
        <w:spacing w:before="0" w:after="60"/>
        <w:ind w:left="432"/>
      </w:pPr>
      <w:r>
        <w:rPr>
          <w:rFonts w:ascii="Arial" w:hAnsi="Arial"/>
          <w:color w:val="444444"/>
          <w:sz w:val="18"/>
        </w:rPr>
        <w:t>Firewall rules, network diagram, encryption configuration, DMZ architecture, boundary protection evidence</w:t>
      </w:r>
    </w:p>
    <w:p>
      <w:pPr>
        <w:spacing w:before="120" w:after="20"/>
      </w:pPr>
      <w:r>
        <w:rPr>
          <w:rFonts w:ascii="Arial" w:hAnsi="Arial"/>
          <w:b/>
          <w:color w:val="0A1F3F"/>
          <w:sz w:val="20"/>
        </w:rPr>
        <w:t>System &amp; Info Integrity (SI)</w:t>
      </w:r>
    </w:p>
    <w:p>
      <w:pPr>
        <w:spacing w:before="0" w:after="60"/>
        <w:ind w:left="432"/>
      </w:pPr>
      <w:r>
        <w:rPr>
          <w:rFonts w:ascii="Arial" w:hAnsi="Arial"/>
          <w:color w:val="444444"/>
          <w:sz w:val="18"/>
        </w:rPr>
        <w:t>Patch management records, AV scan reports, SIEM alerts, flaw remediation tracking, monitoring dashboards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EVIDENCE MANAGEMENT TIPS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Create a centralized, secure evidence repository (encrypted folder or GRC tool).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Organize evidence by control family and control ID.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Date-stamp all screenshots and documents.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Collect evidence continuously — not just before the assessment.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Verify that sensitive evidence (e.g., audit logs with user data) is properly protected.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Have a second person review evidence completeness before assessment day.</w:t>
      </w:r>
    </w:p>
    <w:p>
      <w:pPr>
        <w:spacing w:before="40" w:after="40"/>
        <w:pBdr>
          <w:bottom w:val="single" w:sz="12" w:space="1" w:color="C8962E"/>
        </w:pBdr>
      </w:pPr>
    </w:p>
    <w:p>
      <w:pPr>
        <w:spacing w:before="200" w:after="40"/>
        <w:jc w:val="center"/>
      </w:pPr>
      <w:r>
        <w:rPr>
          <w:rFonts w:ascii="Arial" w:hAnsi="Arial"/>
          <w:color w:val="999999"/>
          <w:sz w:val="16"/>
        </w:rPr>
        <w:t>CMMC Training Program — Course 1</w:t>
      </w:r>
    </w:p>
    <w:p>
      <w:pPr>
        <w:spacing w:before="40" w:after="40"/>
        <w:jc w:val="center"/>
      </w:pPr>
      <w:r>
        <w:rPr>
          <w:rFonts w:ascii="Arial" w:hAnsi="Arial"/>
          <w:color w:val="666666"/>
          <w:sz w:val="18"/>
        </w:rPr>
        <w:t>For more resources, templates, and compliance guidance visit:</w:t>
      </w:r>
    </w:p>
    <w:p>
      <w:pPr>
        <w:spacing w:before="40" w:after="0"/>
        <w:jc w:val="center"/>
      </w:pPr>
      <w:r>
        <w:rPr>
          <w:rFonts w:ascii="Arial" w:hAnsi="Arial"/>
          <w:b/>
          <w:color w:val="C8962E"/>
          <w:sz w:val="22"/>
          <w:u w:val="single"/>
        </w:rPr>
        <w:t>www.easycompliances.net</w:t>
      </w:r>
    </w:p>
    <w:p>
      <w:pPr>
        <w:spacing w:before="120" w:after="0"/>
        <w:jc w:val="center"/>
      </w:pPr>
      <w:r>
        <w:rPr>
          <w:rFonts w:ascii="Arial" w:hAnsi="Arial"/>
          <w:color w:val="BBBBBB"/>
          <w:sz w:val="14"/>
        </w:rPr>
        <w:t>© 2026 Easy Compliances. All Rights Reserved.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color w:val="333333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