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CMMC-Compliant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POA&amp;M Template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8.10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This Plan of Action and Milestones (POA&amp;M) template meets CMMC assessment requirements. Unlike the starter worksheet in Lesson 6.2, this is the formal, assessment-ready version. Every control not fully implemented must appear here with a detailed remediation plan, milestones, resources, and risk acceptance justification. Assessors will verify that your POA&amp;M is active, realistic, and demonstrates a credible path to full compliance.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POA&amp;M HEADER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7200"/>
        <w:gridCol w:w="7200"/>
      </w:tblGrid>
      <w:tr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72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VALUE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Organization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Name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[System name from SSP]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CAGE Code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[Code]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Date Created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Last Updated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POA&amp;M Manager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[Name, Title]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Total Open Items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[Count]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Total SPRS Points at Risk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[Sum of point values for unimplemented controls]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POA&amp;M ITEMS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7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ID</w:t>
            </w:r>
          </w:p>
        </w:tc>
        <w:tc>
          <w:tcPr>
            <w:tcW w:type="dxa" w:w="7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CTRL</w:t>
            </w:r>
          </w:p>
        </w:tc>
        <w:tc>
          <w:tcPr>
            <w:tcW w:type="dxa" w:w="187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WEAKNESS</w:t>
            </w:r>
          </w:p>
        </w:tc>
        <w:tc>
          <w:tcPr>
            <w:tcW w:type="dxa" w:w="57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RISK</w:t>
            </w:r>
          </w:p>
        </w:tc>
        <w:tc>
          <w:tcPr>
            <w:tcW w:type="dxa" w:w="187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MILESTONES</w:t>
            </w:r>
          </w:p>
        </w:tc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RESOURCES</w:t>
            </w:r>
          </w:p>
        </w:tc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OWNER</w:t>
            </w:r>
          </w:p>
        </w:tc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START</w:t>
            </w:r>
          </w:p>
        </w:tc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TARGET</w:t>
            </w:r>
          </w:p>
        </w:tc>
        <w:tc>
          <w:tcPr>
            <w:tcW w:type="dxa" w:w="7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STATUS</w:t>
            </w:r>
          </w:p>
        </w:tc>
      </w:tr>
      <w:tr>
        <w:tc>
          <w:tcPr>
            <w:tcW w:type="dxa" w:w="576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001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3.X.X</w:t>
            </w:r>
          </w:p>
        </w:tc>
        <w:tc>
          <w:tcPr>
            <w:tcW w:type="dxa" w:w="187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[Gap description]</w:t>
            </w:r>
          </w:p>
        </w:tc>
        <w:tc>
          <w:tcPr>
            <w:tcW w:type="dxa" w:w="57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H/M/L</w:t>
            </w:r>
          </w:p>
        </w:tc>
        <w:tc>
          <w:tcPr>
            <w:tcW w:type="dxa" w:w="187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[Key milestones]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[$, tools, people]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576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002</w:t>
            </w:r>
          </w:p>
        </w:tc>
        <w:tc>
          <w:tcPr>
            <w:tcW w:type="dxa" w:w="7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3.X.X</w:t>
            </w:r>
          </w:p>
        </w:tc>
        <w:tc>
          <w:tcPr>
            <w:tcW w:type="dxa" w:w="187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[Gap description]</w:t>
            </w:r>
          </w:p>
        </w:tc>
        <w:tc>
          <w:tcPr>
            <w:tcW w:type="dxa" w:w="57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H/M/L</w:t>
            </w:r>
          </w:p>
        </w:tc>
        <w:tc>
          <w:tcPr>
            <w:tcW w:type="dxa" w:w="187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[Key milestones]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[$, tools, people]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0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7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  <w:tr>
        <w:tc>
          <w:tcPr>
            <w:tcW w:type="dxa" w:w="576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003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3.X.X</w:t>
            </w:r>
          </w:p>
        </w:tc>
        <w:tc>
          <w:tcPr>
            <w:tcW w:type="dxa" w:w="187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[Gap description]</w:t>
            </w:r>
          </w:p>
        </w:tc>
        <w:tc>
          <w:tcPr>
            <w:tcW w:type="dxa" w:w="57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H/M/L</w:t>
            </w:r>
          </w:p>
        </w:tc>
        <w:tc>
          <w:tcPr>
            <w:tcW w:type="dxa" w:w="187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[Key milestones]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[$, tools, people]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0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7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Open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CMMC POA&amp;M RULES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1. 180-Day Closure Requirement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CMMC requires POA&amp;M items to be closed within 180 days of the assessment. Plan accordingly.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2. No POA&amp;M for Highest-Weighted Controls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Certain critical controls cannot be on a POA&amp;M — they must be implemented before assessment. Check CMMC guidance for excluded controls.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3. Active Management Required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A static POA&amp;M signals poor governance. Review monthly, update statuses, and demonstrate progress.</w:t>
      </w:r>
    </w:p>
    <w:p>
      <w:pPr>
        <w:spacing w:before="80" w:after="20"/>
        <w:ind w:left="360"/>
      </w:pPr>
      <w:r>
        <w:rPr>
          <w:rFonts w:ascii="Arial" w:hAnsi="Arial"/>
          <w:b/>
          <w:color w:val="0A1F3F"/>
          <w:sz w:val="20"/>
        </w:rPr>
        <w:t>4. Evidence of Progress</w:t>
      </w:r>
    </w:p>
    <w:p>
      <w:pPr>
        <w:spacing w:before="0" w:after="80"/>
        <w:ind w:left="720"/>
      </w:pPr>
      <w:r>
        <w:rPr>
          <w:rFonts w:ascii="Arial" w:hAnsi="Arial"/>
          <w:color w:val="444444"/>
          <w:sz w:val="18"/>
        </w:rPr>
        <w:t>For each open item, maintain evidence of work in progress — purchase orders, configuration changes, training records.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5840" w:h="12240" w:orient="landscape"/>
      <w:pgMar w:top="108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