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80"/>
        <w:jc w:val="center"/>
      </w:pPr>
      <w:r>
        <w:rPr>
          <w:rFonts w:ascii="Arial" w:hAnsi="Arial"/>
          <w:b/>
          <w:color w:val="C8962E"/>
          <w:sz w:val="18"/>
        </w:rPr>
        <w:t>CMMC TRAINING PROGRAM — COURSE 1</w:t>
      </w:r>
    </w:p>
    <w:p>
      <w:pPr>
        <w:spacing w:before="0" w:after="40"/>
        <w:jc w:val="center"/>
      </w:pPr>
      <w:r>
        <w:rPr>
          <w:rFonts w:ascii="Arial" w:hAnsi="Arial"/>
          <w:b/>
          <w:color w:val="0A1F3F"/>
          <w:sz w:val="52"/>
        </w:rPr>
        <w:t>Organization-Defined Parameters</w:t>
      </w:r>
    </w:p>
    <w:p>
      <w:pPr>
        <w:spacing w:before="0" w:after="80"/>
        <w:jc w:val="center"/>
      </w:pPr>
      <w:r>
        <w:rPr>
          <w:rFonts w:ascii="Arial" w:hAnsi="Arial"/>
          <w:color w:val="1A3A5C"/>
          <w:sz w:val="32"/>
        </w:rPr>
        <w:t>ODP Reference List</w:t>
      </w:r>
    </w:p>
    <w:p>
      <w:pPr>
        <w:spacing w:before="0" w:after="120"/>
        <w:jc w:val="center"/>
      </w:pPr>
      <w:r>
        <w:rPr>
          <w:rFonts w:ascii="Arial" w:hAnsi="Arial"/>
          <w:color w:val="999999"/>
          <w:sz w:val="18"/>
        </w:rPr>
        <w:t>Lesson 6.4 — Resource Document</w:t>
      </w:r>
    </w:p>
    <w:p>
      <w:pPr>
        <w:spacing w:before="40" w:after="40"/>
        <w:pBdr>
          <w:bottom w:val="single" w:sz="12" w:space="1" w:color="C8962E"/>
        </w:pBdr>
      </w:pPr>
    </w:p>
    <w:p>
      <w:pPr>
        <w:spacing w:before="240" w:after="80"/>
      </w:pPr>
      <w:r>
        <w:rPr>
          <w:rFonts w:ascii="Arial" w:hAnsi="Arial"/>
          <w:b/>
          <w:color w:val="0A1F3F"/>
          <w:sz w:val="22"/>
        </w:rPr>
        <w:t>INSTRUCTIONS</w:t>
      </w:r>
    </w:p>
    <w:p>
      <w:pPr>
        <w:spacing w:before="0" w:after="160"/>
      </w:pPr>
      <w:r>
        <w:rPr>
          <w:rFonts w:ascii="Arial" w:hAnsi="Arial"/>
          <w:color w:val="444444"/>
          <w:sz w:val="20"/>
        </w:rPr>
        <w:t>Many NIST SP 800-171 controls require your organization to define specific values — known as Organization-Defined Parameters (ODPs). This reference list identifies the key ODPs you must set and document in your SSP. Review each parameter with your security and IT teams, select values that balance security and operational needs, and record your decisions. Assessors will verify that ODPs are defined, documented, and consistently implemented.</w:t>
      </w:r>
    </w:p>
    <w:p>
      <w:pPr>
        <w:spacing w:before="280" w:after="120"/>
      </w:pPr>
      <w:r>
        <w:rPr>
          <w:rFonts w:ascii="Arial" w:hAnsi="Arial"/>
          <w:b/>
          <w:color w:val="0A1F3F"/>
          <w:sz w:val="24"/>
        </w:rPr>
        <w:t>COMMON ORGANIZATION-DEFINED PARAMETERS</w:t>
      </w:r>
    </w:p>
    <w:tbl>
      <w:tblPr>
        <w:tblW w:type="auto" w:w="0"/>
        <w:jc w:val="center"/>
        <w:tblLayout w:type="autofit"/>
        <w:tblLook w:firstColumn="1" w:firstRow="1" w:lastColumn="0" w:lastRow="0" w:noHBand="0" w:noVBand="1" w:val="04A0"/>
      </w:tblPr>
      <w:tblGrid>
        <w:gridCol w:w="2520"/>
        <w:gridCol w:w="2520"/>
        <w:gridCol w:w="2520"/>
        <w:gridCol w:w="2520"/>
      </w:tblGrid>
      <w:tr>
        <w:tc>
          <w:tcPr>
            <w:tcW w:type="dxa" w:w="1296"/>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CONTROL REF</w:t>
            </w:r>
          </w:p>
        </w:tc>
        <w:tc>
          <w:tcPr>
            <w:tcW w:type="dxa" w:w="1872"/>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AREA</w:t>
            </w:r>
          </w:p>
        </w:tc>
        <w:tc>
          <w:tcPr>
            <w:tcW w:type="dxa" w:w="360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PARAMETER TO DEFINE</w:t>
            </w:r>
          </w:p>
        </w:tc>
        <w:tc>
          <w:tcPr>
            <w:tcW w:type="dxa" w:w="3312"/>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YOUR VALUE</w:t>
            </w:r>
          </w:p>
        </w:tc>
      </w:tr>
      <w:tr>
        <w:tc>
          <w:tcPr>
            <w:tcW w:type="dxa" w:w="1296"/>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3.1.1 / 3.1.2</w:t>
            </w:r>
          </w:p>
        </w:tc>
        <w:tc>
          <w:tcPr>
            <w:tcW w:type="dxa" w:w="187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Access Control</w:t>
            </w:r>
          </w:p>
        </w:tc>
        <w:tc>
          <w:tcPr>
            <w:tcW w:type="dxa" w:w="360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Authorized users and system functions/transactions</w:t>
            </w:r>
          </w:p>
        </w:tc>
        <w:tc>
          <w:tcPr>
            <w:tcW w:type="dxa" w:w="331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[Define who is authorized and for what]</w:t>
            </w:r>
          </w:p>
        </w:tc>
      </w:tr>
      <w:tr>
        <w:tc>
          <w:tcPr>
            <w:tcW w:type="dxa" w:w="1296"/>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3.1.8</w:t>
            </w:r>
          </w:p>
        </w:tc>
        <w:tc>
          <w:tcPr>
            <w:tcW w:type="dxa" w:w="187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Unsuccessful Logon Attempts</w:t>
            </w:r>
          </w:p>
        </w:tc>
        <w:tc>
          <w:tcPr>
            <w:tcW w:type="dxa" w:w="360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Maximum number of consecutive invalid logon attempts and time period</w:t>
            </w:r>
          </w:p>
        </w:tc>
        <w:tc>
          <w:tcPr>
            <w:tcW w:type="dxa" w:w="331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[e.g., 3 attempts in 15 minutes → lockout for 30 minutes]</w:t>
            </w:r>
          </w:p>
        </w:tc>
      </w:tr>
      <w:tr>
        <w:tc>
          <w:tcPr>
            <w:tcW w:type="dxa" w:w="1296"/>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3.1.10</w:t>
            </w:r>
          </w:p>
        </w:tc>
        <w:tc>
          <w:tcPr>
            <w:tcW w:type="dxa" w:w="187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Session Lock</w:t>
            </w:r>
          </w:p>
        </w:tc>
        <w:tc>
          <w:tcPr>
            <w:tcW w:type="dxa" w:w="360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Inactivity period before session lock activates</w:t>
            </w:r>
          </w:p>
        </w:tc>
        <w:tc>
          <w:tcPr>
            <w:tcW w:type="dxa" w:w="331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[e.g., 15 minutes of inactivity]</w:t>
            </w:r>
          </w:p>
        </w:tc>
      </w:tr>
      <w:tr>
        <w:tc>
          <w:tcPr>
            <w:tcW w:type="dxa" w:w="1296"/>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3.1.11</w:t>
            </w:r>
          </w:p>
        </w:tc>
        <w:tc>
          <w:tcPr>
            <w:tcW w:type="dxa" w:w="187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Session Termination</w:t>
            </w:r>
          </w:p>
        </w:tc>
        <w:tc>
          <w:tcPr>
            <w:tcW w:type="dxa" w:w="360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Conditions for automatic session termination</w:t>
            </w:r>
          </w:p>
        </w:tc>
        <w:tc>
          <w:tcPr>
            <w:tcW w:type="dxa" w:w="331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[e.g., 60 minutes of inactivity or end of business day]</w:t>
            </w:r>
          </w:p>
        </w:tc>
      </w:tr>
      <w:tr>
        <w:tc>
          <w:tcPr>
            <w:tcW w:type="dxa" w:w="1296"/>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3.3.1</w:t>
            </w:r>
          </w:p>
        </w:tc>
        <w:tc>
          <w:tcPr>
            <w:tcW w:type="dxa" w:w="187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Audit Events</w:t>
            </w:r>
          </w:p>
        </w:tc>
        <w:tc>
          <w:tcPr>
            <w:tcW w:type="dxa" w:w="360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Events to be audited in the system</w:t>
            </w:r>
          </w:p>
        </w:tc>
        <w:tc>
          <w:tcPr>
            <w:tcW w:type="dxa" w:w="331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[e.g., logon/logoff, privilege changes, CUI access, configuration changes]</w:t>
            </w:r>
          </w:p>
        </w:tc>
      </w:tr>
      <w:tr>
        <w:tc>
          <w:tcPr>
            <w:tcW w:type="dxa" w:w="1296"/>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3.3.8</w:t>
            </w:r>
          </w:p>
        </w:tc>
        <w:tc>
          <w:tcPr>
            <w:tcW w:type="dxa" w:w="187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Audit Retention</w:t>
            </w:r>
          </w:p>
        </w:tc>
        <w:tc>
          <w:tcPr>
            <w:tcW w:type="dxa" w:w="360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Retention period for audit logs</w:t>
            </w:r>
          </w:p>
        </w:tc>
        <w:tc>
          <w:tcPr>
            <w:tcW w:type="dxa" w:w="331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[e.g., 1 year minimum, 3 years recommended]</w:t>
            </w:r>
          </w:p>
        </w:tc>
      </w:tr>
      <w:tr>
        <w:tc>
          <w:tcPr>
            <w:tcW w:type="dxa" w:w="1296"/>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3.4.1</w:t>
            </w:r>
          </w:p>
        </w:tc>
        <w:tc>
          <w:tcPr>
            <w:tcW w:type="dxa" w:w="187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Baseline Configuration</w:t>
            </w:r>
          </w:p>
        </w:tc>
        <w:tc>
          <w:tcPr>
            <w:tcW w:type="dxa" w:w="360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Frequency of baseline review and update</w:t>
            </w:r>
          </w:p>
        </w:tc>
        <w:tc>
          <w:tcPr>
            <w:tcW w:type="dxa" w:w="331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[e.g., Quarterly or after significant changes]</w:t>
            </w:r>
          </w:p>
        </w:tc>
      </w:tr>
      <w:tr>
        <w:tc>
          <w:tcPr>
            <w:tcW w:type="dxa" w:w="1296"/>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3.5.7</w:t>
            </w:r>
          </w:p>
        </w:tc>
        <w:tc>
          <w:tcPr>
            <w:tcW w:type="dxa" w:w="187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Password Complexity</w:t>
            </w:r>
          </w:p>
        </w:tc>
        <w:tc>
          <w:tcPr>
            <w:tcW w:type="dxa" w:w="360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Minimum password length, complexity, and change frequency</w:t>
            </w:r>
          </w:p>
        </w:tc>
        <w:tc>
          <w:tcPr>
            <w:tcW w:type="dxa" w:w="331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[e.g., 16 chars, upper+lower+number+special, change every 365 days]</w:t>
            </w:r>
          </w:p>
        </w:tc>
      </w:tr>
      <w:tr>
        <w:tc>
          <w:tcPr>
            <w:tcW w:type="dxa" w:w="1296"/>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3.5.8</w:t>
            </w:r>
          </w:p>
        </w:tc>
        <w:tc>
          <w:tcPr>
            <w:tcW w:type="dxa" w:w="187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Temporary Passwords</w:t>
            </w:r>
          </w:p>
        </w:tc>
        <w:tc>
          <w:tcPr>
            <w:tcW w:type="dxa" w:w="360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Validity period for temporary/initial passwords</w:t>
            </w:r>
          </w:p>
        </w:tc>
        <w:tc>
          <w:tcPr>
            <w:tcW w:type="dxa" w:w="331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[e.g., Must be changed at first login, valid for 24 hours]</w:t>
            </w:r>
          </w:p>
        </w:tc>
      </w:tr>
      <w:tr>
        <w:tc>
          <w:tcPr>
            <w:tcW w:type="dxa" w:w="1296"/>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3.6.1</w:t>
            </w:r>
          </w:p>
        </w:tc>
        <w:tc>
          <w:tcPr>
            <w:tcW w:type="dxa" w:w="187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Incident Response Time</w:t>
            </w:r>
          </w:p>
        </w:tc>
        <w:tc>
          <w:tcPr>
            <w:tcW w:type="dxa" w:w="360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Timeframe for initiating incident response</w:t>
            </w:r>
          </w:p>
        </w:tc>
        <w:tc>
          <w:tcPr>
            <w:tcW w:type="dxa" w:w="331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[e.g., Within 1 hour of detection]</w:t>
            </w:r>
          </w:p>
        </w:tc>
      </w:tr>
      <w:tr>
        <w:tc>
          <w:tcPr>
            <w:tcW w:type="dxa" w:w="1296"/>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3.6.2</w:t>
            </w:r>
          </w:p>
        </w:tc>
        <w:tc>
          <w:tcPr>
            <w:tcW w:type="dxa" w:w="187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Incident Reporting</w:t>
            </w:r>
          </w:p>
        </w:tc>
        <w:tc>
          <w:tcPr>
            <w:tcW w:type="dxa" w:w="360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Timeline for reporting to DIBNet</w:t>
            </w:r>
          </w:p>
        </w:tc>
        <w:tc>
          <w:tcPr>
            <w:tcW w:type="dxa" w:w="331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[72 hours per DFARS requirement]</w:t>
            </w:r>
          </w:p>
        </w:tc>
      </w:tr>
      <w:tr>
        <w:tc>
          <w:tcPr>
            <w:tcW w:type="dxa" w:w="1296"/>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3.7.5</w:t>
            </w:r>
          </w:p>
        </w:tc>
        <w:tc>
          <w:tcPr>
            <w:tcW w:type="dxa" w:w="187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MFA for Remote Maintenance</w:t>
            </w:r>
          </w:p>
        </w:tc>
        <w:tc>
          <w:tcPr>
            <w:tcW w:type="dxa" w:w="360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Authentication requirements for remote maintenance sessions</w:t>
            </w:r>
          </w:p>
        </w:tc>
        <w:tc>
          <w:tcPr>
            <w:tcW w:type="dxa" w:w="331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[e.g., MFA required, VPN mandatory]</w:t>
            </w:r>
          </w:p>
        </w:tc>
      </w:tr>
      <w:tr>
        <w:tc>
          <w:tcPr>
            <w:tcW w:type="dxa" w:w="1296"/>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3.8.9</w:t>
            </w:r>
          </w:p>
        </w:tc>
        <w:tc>
          <w:tcPr>
            <w:tcW w:type="dxa" w:w="187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Media Sanitization</w:t>
            </w:r>
          </w:p>
        </w:tc>
        <w:tc>
          <w:tcPr>
            <w:tcW w:type="dxa" w:w="360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Methods for sanitizing media containing CUI</w:t>
            </w:r>
          </w:p>
        </w:tc>
        <w:tc>
          <w:tcPr>
            <w:tcW w:type="dxa" w:w="331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[e.g., NIST 800-88 purge for HDDs, crypto-erase for SSDs]</w:t>
            </w:r>
          </w:p>
        </w:tc>
      </w:tr>
      <w:tr>
        <w:tc>
          <w:tcPr>
            <w:tcW w:type="dxa" w:w="1296"/>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3.10.1</w:t>
            </w:r>
          </w:p>
        </w:tc>
        <w:tc>
          <w:tcPr>
            <w:tcW w:type="dxa" w:w="187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Physical Access</w:t>
            </w:r>
          </w:p>
        </w:tc>
        <w:tc>
          <w:tcPr>
            <w:tcW w:type="dxa" w:w="360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Authorized physical access list and review frequency</w:t>
            </w:r>
          </w:p>
        </w:tc>
        <w:tc>
          <w:tcPr>
            <w:tcW w:type="dxa" w:w="331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[e.g., Reviewed quarterly by facilities manager]</w:t>
            </w:r>
          </w:p>
        </w:tc>
      </w:tr>
      <w:tr>
        <w:tc>
          <w:tcPr>
            <w:tcW w:type="dxa" w:w="1296"/>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3.11.2</w:t>
            </w:r>
          </w:p>
        </w:tc>
        <w:tc>
          <w:tcPr>
            <w:tcW w:type="dxa" w:w="187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Vulnerability Scanning</w:t>
            </w:r>
          </w:p>
        </w:tc>
        <w:tc>
          <w:tcPr>
            <w:tcW w:type="dxa" w:w="360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Frequency of vulnerability scans</w:t>
            </w:r>
          </w:p>
        </w:tc>
        <w:tc>
          <w:tcPr>
            <w:tcW w:type="dxa" w:w="331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[e.g., Monthly automated, quarterly manual]</w:t>
            </w:r>
          </w:p>
        </w:tc>
      </w:tr>
      <w:tr>
        <w:tc>
          <w:tcPr>
            <w:tcW w:type="dxa" w:w="1296"/>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3.13.11</w:t>
            </w:r>
          </w:p>
        </w:tc>
        <w:tc>
          <w:tcPr>
            <w:tcW w:type="dxa" w:w="187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Encryption Standards</w:t>
            </w:r>
          </w:p>
        </w:tc>
        <w:tc>
          <w:tcPr>
            <w:tcW w:type="dxa" w:w="360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FIPS-validated encryption algorithms for CUI</w:t>
            </w:r>
          </w:p>
        </w:tc>
        <w:tc>
          <w:tcPr>
            <w:tcW w:type="dxa" w:w="331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[e.g., AES-256 for data at rest, TLS 1.2+ for data in transit]</w:t>
            </w:r>
          </w:p>
        </w:tc>
      </w:tr>
      <w:tr>
        <w:tc>
          <w:tcPr>
            <w:tcW w:type="dxa" w:w="1296"/>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3.14.2</w:t>
            </w:r>
          </w:p>
        </w:tc>
        <w:tc>
          <w:tcPr>
            <w:tcW w:type="dxa" w:w="187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Malicious Code Protection</w:t>
            </w:r>
          </w:p>
        </w:tc>
        <w:tc>
          <w:tcPr>
            <w:tcW w:type="dxa" w:w="360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Update frequency for anti-malware signatures</w:t>
            </w:r>
          </w:p>
        </w:tc>
        <w:tc>
          <w:tcPr>
            <w:tcW w:type="dxa" w:w="3312"/>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[e.g., Daily automatic updates]</w:t>
            </w:r>
          </w:p>
        </w:tc>
      </w:tr>
      <w:tr>
        <w:tc>
          <w:tcPr>
            <w:tcW w:type="dxa" w:w="1296"/>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3.14.6</w:t>
            </w:r>
          </w:p>
        </w:tc>
        <w:tc>
          <w:tcPr>
            <w:tcW w:type="dxa" w:w="187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System Monitoring</w:t>
            </w:r>
          </w:p>
        </w:tc>
        <w:tc>
          <w:tcPr>
            <w:tcW w:type="dxa" w:w="360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Types of monitoring and alert thresholds</w:t>
            </w:r>
          </w:p>
        </w:tc>
        <w:tc>
          <w:tcPr>
            <w:tcW w:type="dxa" w:w="3312"/>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[e.g., IDS/IPS, SIEM with 15-minute alert window]</w:t>
            </w:r>
          </w:p>
        </w:tc>
      </w:tr>
    </w:tbl>
    <w:p>
      <w:pPr>
        <w:spacing w:before="280" w:after="120"/>
      </w:pPr>
      <w:r>
        <w:rPr>
          <w:rFonts w:ascii="Arial" w:hAnsi="Arial"/>
          <w:b/>
          <w:color w:val="0A1F3F"/>
          <w:sz w:val="24"/>
        </w:rPr>
        <w:t>ODP DOCUMENTATION TIPS</w:t>
      </w:r>
    </w:p>
    <w:p>
      <w:pPr>
        <w:spacing w:before="40" w:after="40"/>
        <w:ind w:left="360"/>
      </w:pPr>
      <w:r>
        <w:rPr>
          <w:rFonts w:ascii="Arial" w:hAnsi="Arial"/>
          <w:color w:val="C8962E"/>
          <w:sz w:val="24"/>
        </w:rPr>
        <w:t xml:space="preserve">☐  </w:t>
      </w:r>
      <w:r>
        <w:rPr>
          <w:rFonts w:ascii="Arial" w:hAnsi="Arial"/>
          <w:color w:val="333333"/>
          <w:sz w:val="19"/>
        </w:rPr>
        <w:t>Define every ODP before your assessment — blanks indicate gaps.</w:t>
      </w:r>
    </w:p>
    <w:p>
      <w:pPr>
        <w:spacing w:before="40" w:after="40"/>
        <w:ind w:left="360"/>
      </w:pPr>
      <w:r>
        <w:rPr>
          <w:rFonts w:ascii="Arial" w:hAnsi="Arial"/>
          <w:color w:val="C8962E"/>
          <w:sz w:val="24"/>
        </w:rPr>
        <w:t xml:space="preserve">☐  </w:t>
      </w:r>
      <w:r>
        <w:rPr>
          <w:rFonts w:ascii="Arial" w:hAnsi="Arial"/>
          <w:color w:val="333333"/>
          <w:sz w:val="19"/>
        </w:rPr>
        <w:t>Record ODP values in your SSP under each corresponding control section.</w:t>
      </w:r>
    </w:p>
    <w:p>
      <w:pPr>
        <w:spacing w:before="40" w:after="40"/>
        <w:ind w:left="360"/>
      </w:pPr>
      <w:r>
        <w:rPr>
          <w:rFonts w:ascii="Arial" w:hAnsi="Arial"/>
          <w:color w:val="C8962E"/>
          <w:sz w:val="24"/>
        </w:rPr>
        <w:t xml:space="preserve">☐  </w:t>
      </w:r>
      <w:r>
        <w:rPr>
          <w:rFonts w:ascii="Arial" w:hAnsi="Arial"/>
          <w:color w:val="333333"/>
          <w:sz w:val="19"/>
        </w:rPr>
        <w:t>Ensure ODP values are technically enforceable (e.g., Group Policy, MDM, firewall rules).</w:t>
      </w:r>
    </w:p>
    <w:p>
      <w:pPr>
        <w:spacing w:before="40" w:after="40"/>
        <w:ind w:left="360"/>
      </w:pPr>
      <w:r>
        <w:rPr>
          <w:rFonts w:ascii="Arial" w:hAnsi="Arial"/>
          <w:color w:val="C8962E"/>
          <w:sz w:val="24"/>
        </w:rPr>
        <w:t xml:space="preserve">☐  </w:t>
      </w:r>
      <w:r>
        <w:rPr>
          <w:rFonts w:ascii="Arial" w:hAnsi="Arial"/>
          <w:color w:val="333333"/>
          <w:sz w:val="19"/>
        </w:rPr>
        <w:t>Review ODPs annually and update if operational needs or threat landscape change.</w:t>
      </w:r>
    </w:p>
    <w:p>
      <w:pPr>
        <w:spacing w:before="40" w:after="40"/>
        <w:ind w:left="360"/>
      </w:pPr>
      <w:r>
        <w:rPr>
          <w:rFonts w:ascii="Arial" w:hAnsi="Arial"/>
          <w:color w:val="C8962E"/>
          <w:sz w:val="24"/>
        </w:rPr>
        <w:t xml:space="preserve">☐  </w:t>
      </w:r>
      <w:r>
        <w:rPr>
          <w:rFonts w:ascii="Arial" w:hAnsi="Arial"/>
          <w:color w:val="333333"/>
          <w:sz w:val="19"/>
        </w:rPr>
        <w:t>Involve both IT operations and security when selecting values to avoid conflicts.</w:t>
      </w:r>
    </w:p>
    <w:p>
      <w:pPr>
        <w:spacing w:before="40" w:after="40"/>
        <w:ind w:left="360"/>
      </w:pPr>
      <w:r>
        <w:rPr>
          <w:rFonts w:ascii="Arial" w:hAnsi="Arial"/>
          <w:color w:val="C8962E"/>
          <w:sz w:val="24"/>
        </w:rPr>
        <w:t xml:space="preserve">☐  </w:t>
      </w:r>
      <w:r>
        <w:rPr>
          <w:rFonts w:ascii="Arial" w:hAnsi="Arial"/>
          <w:color w:val="333333"/>
          <w:sz w:val="19"/>
        </w:rPr>
        <w:t>Be prepared to demonstrate enforcement during an assessment (show the GPO, the config, the policy).</w:t>
      </w:r>
    </w:p>
    <w:p>
      <w:pPr>
        <w:spacing w:before="40" w:after="40"/>
        <w:pBdr>
          <w:bottom w:val="single" w:sz="12" w:space="1" w:color="C8962E"/>
        </w:pBdr>
      </w:pPr>
    </w:p>
    <w:p>
      <w:pPr>
        <w:spacing w:before="200" w:after="40"/>
        <w:jc w:val="center"/>
      </w:pPr>
      <w:r>
        <w:rPr>
          <w:rFonts w:ascii="Arial" w:hAnsi="Arial"/>
          <w:color w:val="999999"/>
          <w:sz w:val="16"/>
        </w:rPr>
        <w:t>CMMC Training Program — Course 1</w:t>
      </w:r>
    </w:p>
    <w:p>
      <w:pPr>
        <w:spacing w:before="40" w:after="40"/>
        <w:jc w:val="center"/>
      </w:pPr>
      <w:r>
        <w:rPr>
          <w:rFonts w:ascii="Arial" w:hAnsi="Arial"/>
          <w:color w:val="666666"/>
          <w:sz w:val="18"/>
        </w:rPr>
        <w:t>For more resources, templates, and compliance guidance visit:</w:t>
      </w:r>
    </w:p>
    <w:p>
      <w:pPr>
        <w:spacing w:before="40" w:after="0"/>
        <w:jc w:val="center"/>
      </w:pPr>
      <w:r>
        <w:rPr>
          <w:rFonts w:ascii="Arial" w:hAnsi="Arial"/>
          <w:b/>
          <w:color w:val="C8962E"/>
          <w:sz w:val="22"/>
          <w:u w:val="single"/>
        </w:rPr>
        <w:t>www.easycompliances.net</w:t>
      </w:r>
    </w:p>
    <w:p>
      <w:pPr>
        <w:spacing w:before="120" w:after="0"/>
        <w:jc w:val="center"/>
      </w:pPr>
      <w:r>
        <w:rPr>
          <w:rFonts w:ascii="Arial" w:hAnsi="Arial"/>
          <w:color w:val="BBBBBB"/>
          <w:sz w:val="14"/>
        </w:rPr>
        <w:t>© 2026 Easy Compliances. All Rights Reserved.</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color w:val="333333"/>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