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System Security Plan (SSP)</w:t>
      </w:r>
    </w:p>
    <w:p>
      <w:pPr>
        <w:spacing w:before="0" w:after="80"/>
        <w:jc w:val="center"/>
      </w:pPr>
      <w:r>
        <w:rPr>
          <w:rFonts w:ascii="Arial" w:hAnsi="Arial"/>
          <w:color w:val="1A3A5C"/>
          <w:sz w:val="32"/>
        </w:rPr>
        <w:t>Outline &amp; Section Guide</w:t>
      </w:r>
    </w:p>
    <w:p>
      <w:pPr>
        <w:spacing w:before="0" w:after="120"/>
        <w:jc w:val="center"/>
      </w:pPr>
      <w:r>
        <w:rPr>
          <w:rFonts w:ascii="Arial" w:hAnsi="Arial"/>
          <w:color w:val="999999"/>
          <w:sz w:val="18"/>
        </w:rPr>
        <w:t>Lesson 6.1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This guide provides the recommended structure for your System Security Plan (SSP) — the foundational document of your CMMC compliance program. Use this outline to build your SSP from scratch or validate an existing one. Each section description tells you what to include and why assessors look for it. Your SSP should be a living document, updated whenever your system environment changes.</w:t>
      </w:r>
    </w:p>
    <w:p>
      <w:pPr>
        <w:spacing w:before="280" w:after="120"/>
      </w:pPr>
      <w:r>
        <w:rPr>
          <w:rFonts w:ascii="Arial" w:hAnsi="Arial"/>
          <w:b/>
          <w:color w:val="0A1F3F"/>
          <w:sz w:val="24"/>
        </w:rPr>
        <w:t>SSP RECOMMENDED SECTIONS</w:t>
      </w:r>
    </w:p>
    <w:p>
      <w:pPr>
        <w:spacing w:before="120" w:after="20"/>
      </w:pPr>
      <w:r>
        <w:rPr>
          <w:rFonts w:ascii="Arial" w:hAnsi="Arial"/>
          <w:b/>
          <w:color w:val="0A1F3F"/>
          <w:sz w:val="20"/>
        </w:rPr>
        <w:t>1. System Identification</w:t>
      </w:r>
    </w:p>
    <w:p>
      <w:pPr>
        <w:spacing w:before="0" w:after="80"/>
        <w:ind w:left="432"/>
      </w:pPr>
      <w:r>
        <w:rPr>
          <w:rFonts w:ascii="Arial" w:hAnsi="Arial"/>
          <w:color w:val="444444"/>
          <w:sz w:val="18"/>
        </w:rPr>
        <w:t>System name, unique identifier, version, CAGE code, responsible organization, authorizing official, and system owner contact information.</w:t>
      </w:r>
    </w:p>
    <w:p>
      <w:pPr>
        <w:spacing w:before="120" w:after="20"/>
      </w:pPr>
      <w:r>
        <w:rPr>
          <w:rFonts w:ascii="Arial" w:hAnsi="Arial"/>
          <w:b/>
          <w:color w:val="0A1F3F"/>
          <w:sz w:val="20"/>
        </w:rPr>
        <w:t>2. System Description &amp; Purpose</w:t>
      </w:r>
    </w:p>
    <w:p>
      <w:pPr>
        <w:spacing w:before="0" w:after="80"/>
        <w:ind w:left="432"/>
      </w:pPr>
      <w:r>
        <w:rPr>
          <w:rFonts w:ascii="Arial" w:hAnsi="Arial"/>
          <w:color w:val="444444"/>
          <w:sz w:val="18"/>
        </w:rPr>
        <w:t>Narrative description of what the system does, its mission function, and how it supports contract delivery. Include the operational context.</w:t>
      </w:r>
    </w:p>
    <w:p>
      <w:pPr>
        <w:spacing w:before="120" w:after="20"/>
      </w:pPr>
      <w:r>
        <w:rPr>
          <w:rFonts w:ascii="Arial" w:hAnsi="Arial"/>
          <w:b/>
          <w:color w:val="0A1F3F"/>
          <w:sz w:val="20"/>
        </w:rPr>
        <w:t>3. System Boundary &amp; Scope</w:t>
      </w:r>
    </w:p>
    <w:p>
      <w:pPr>
        <w:spacing w:before="0" w:after="80"/>
        <w:ind w:left="432"/>
      </w:pPr>
      <w:r>
        <w:rPr>
          <w:rFonts w:ascii="Arial" w:hAnsi="Arial"/>
          <w:color w:val="444444"/>
          <w:sz w:val="18"/>
        </w:rPr>
        <w:t>Define what is inside and outside the authorization boundary. Include network diagrams, system interconnections, and CUI data flow paths.</w:t>
      </w:r>
    </w:p>
    <w:p>
      <w:pPr>
        <w:spacing w:before="120" w:after="20"/>
      </w:pPr>
      <w:r>
        <w:rPr>
          <w:rFonts w:ascii="Arial" w:hAnsi="Arial"/>
          <w:b/>
          <w:color w:val="0A1F3F"/>
          <w:sz w:val="20"/>
        </w:rPr>
        <w:t>4. System Environment</w:t>
      </w:r>
    </w:p>
    <w:p>
      <w:pPr>
        <w:spacing w:before="0" w:after="80"/>
        <w:ind w:left="432"/>
      </w:pPr>
      <w:r>
        <w:rPr>
          <w:rFonts w:ascii="Arial" w:hAnsi="Arial"/>
          <w:color w:val="444444"/>
          <w:sz w:val="18"/>
        </w:rPr>
        <w:t>Hardware inventory, software inventory, firmware, operating systems, cloud services, and network components within the boundary.</w:t>
      </w:r>
    </w:p>
    <w:p>
      <w:pPr>
        <w:spacing w:before="120" w:after="20"/>
      </w:pPr>
      <w:r>
        <w:rPr>
          <w:rFonts w:ascii="Arial" w:hAnsi="Arial"/>
          <w:b/>
          <w:color w:val="0A1F3F"/>
          <w:sz w:val="20"/>
        </w:rPr>
        <w:t>5. Information Types &amp; Data Classification</w:t>
      </w:r>
    </w:p>
    <w:p>
      <w:pPr>
        <w:spacing w:before="0" w:after="80"/>
        <w:ind w:left="432"/>
      </w:pPr>
      <w:r>
        <w:rPr>
          <w:rFonts w:ascii="Arial" w:hAnsi="Arial"/>
          <w:color w:val="444444"/>
          <w:sz w:val="18"/>
        </w:rPr>
        <w:t>Identify FCI and CUI categories handled by the system. Reference the CUI Registry categories that apply.</w:t>
      </w:r>
    </w:p>
    <w:p>
      <w:pPr>
        <w:spacing w:before="120" w:after="20"/>
      </w:pPr>
      <w:r>
        <w:rPr>
          <w:rFonts w:ascii="Arial" w:hAnsi="Arial"/>
          <w:b/>
          <w:color w:val="0A1F3F"/>
          <w:sz w:val="20"/>
        </w:rPr>
        <w:t>6. User Roles &amp; Access</w:t>
      </w:r>
    </w:p>
    <w:p>
      <w:pPr>
        <w:spacing w:before="0" w:after="80"/>
        <w:ind w:left="432"/>
      </w:pPr>
      <w:r>
        <w:rPr>
          <w:rFonts w:ascii="Arial" w:hAnsi="Arial"/>
          <w:color w:val="444444"/>
          <w:sz w:val="18"/>
        </w:rPr>
        <w:t>List all user roles (admins, standard users, privileged users), their access levels, and how access is authorized and revoked.</w:t>
      </w:r>
    </w:p>
    <w:p>
      <w:pPr>
        <w:spacing w:before="120" w:after="20"/>
      </w:pPr>
      <w:r>
        <w:rPr>
          <w:rFonts w:ascii="Arial" w:hAnsi="Arial"/>
          <w:b/>
          <w:color w:val="0A1F3F"/>
          <w:sz w:val="20"/>
        </w:rPr>
        <w:t>7. Interconnections &amp; External Interfaces</w:t>
      </w:r>
    </w:p>
    <w:p>
      <w:pPr>
        <w:spacing w:before="0" w:after="80"/>
        <w:ind w:left="432"/>
      </w:pPr>
      <w:r>
        <w:rPr>
          <w:rFonts w:ascii="Arial" w:hAnsi="Arial"/>
          <w:color w:val="444444"/>
          <w:sz w:val="18"/>
        </w:rPr>
        <w:t>Document all external system connections, APIs, VPN tunnels, and data sharing agreements with third parties.</w:t>
      </w:r>
    </w:p>
    <w:p>
      <w:pPr>
        <w:spacing w:before="120" w:after="20"/>
      </w:pPr>
      <w:r>
        <w:rPr>
          <w:rFonts w:ascii="Arial" w:hAnsi="Arial"/>
          <w:b/>
          <w:color w:val="0A1F3F"/>
          <w:sz w:val="20"/>
        </w:rPr>
        <w:t>8. Security Control Implementation (110 Controls)</w:t>
      </w:r>
    </w:p>
    <w:p>
      <w:pPr>
        <w:spacing w:before="0" w:after="80"/>
        <w:ind w:left="432"/>
      </w:pPr>
      <w:r>
        <w:rPr>
          <w:rFonts w:ascii="Arial" w:hAnsi="Arial"/>
          <w:color w:val="444444"/>
          <w:sz w:val="18"/>
        </w:rPr>
        <w:t>For each of the 110 NIST SP 800-171 controls, describe how it is implemented in your environment. This is the core of the SSP.</w:t>
      </w:r>
    </w:p>
    <w:p>
      <w:pPr>
        <w:spacing w:before="120" w:after="20"/>
      </w:pPr>
      <w:r>
        <w:rPr>
          <w:rFonts w:ascii="Arial" w:hAnsi="Arial"/>
          <w:b/>
          <w:color w:val="0A1F3F"/>
          <w:sz w:val="20"/>
        </w:rPr>
        <w:t>9. Organization-Defined Parameters (ODPs)</w:t>
      </w:r>
    </w:p>
    <w:p>
      <w:pPr>
        <w:spacing w:before="0" w:after="80"/>
        <w:ind w:left="432"/>
      </w:pPr>
      <w:r>
        <w:rPr>
          <w:rFonts w:ascii="Arial" w:hAnsi="Arial"/>
          <w:color w:val="444444"/>
          <w:sz w:val="18"/>
        </w:rPr>
        <w:t>Document the organization-specific values for parameters referenced in the controls (e.g., password length, session timeout values, audit retention periods).</w:t>
      </w:r>
    </w:p>
    <w:p>
      <w:pPr>
        <w:spacing w:before="120" w:after="20"/>
      </w:pPr>
      <w:r>
        <w:rPr>
          <w:rFonts w:ascii="Arial" w:hAnsi="Arial"/>
          <w:b/>
          <w:color w:val="0A1F3F"/>
          <w:sz w:val="20"/>
        </w:rPr>
        <w:t>10. POA&amp;M Summary</w:t>
      </w:r>
    </w:p>
    <w:p>
      <w:pPr>
        <w:spacing w:before="0" w:after="80"/>
        <w:ind w:left="432"/>
      </w:pPr>
      <w:r>
        <w:rPr>
          <w:rFonts w:ascii="Arial" w:hAnsi="Arial"/>
          <w:color w:val="444444"/>
          <w:sz w:val="18"/>
        </w:rPr>
        <w:t>Reference your Plan of Action and Milestones document. Summarize controls not yet fully implemented and their remediation timelines.</w:t>
      </w:r>
    </w:p>
    <w:p>
      <w:pPr>
        <w:spacing w:before="120" w:after="20"/>
      </w:pPr>
      <w:r>
        <w:rPr>
          <w:rFonts w:ascii="Arial" w:hAnsi="Arial"/>
          <w:b/>
          <w:color w:val="0A1F3F"/>
          <w:sz w:val="20"/>
        </w:rPr>
        <w:t>11. Continuous Monitoring Strategy</w:t>
      </w:r>
    </w:p>
    <w:p>
      <w:pPr>
        <w:spacing w:before="0" w:after="80"/>
        <w:ind w:left="432"/>
      </w:pPr>
      <w:r>
        <w:rPr>
          <w:rFonts w:ascii="Arial" w:hAnsi="Arial"/>
          <w:color w:val="444444"/>
          <w:sz w:val="18"/>
        </w:rPr>
        <w:t>Describe how you will monitor control effectiveness, detect changes, and maintain compliance over time.</w:t>
      </w:r>
    </w:p>
    <w:p>
      <w:pPr>
        <w:spacing w:before="120" w:after="20"/>
      </w:pPr>
      <w:r>
        <w:rPr>
          <w:rFonts w:ascii="Arial" w:hAnsi="Arial"/>
          <w:b/>
          <w:color w:val="0A1F3F"/>
          <w:sz w:val="20"/>
        </w:rPr>
        <w:t>12. Incident Response Plan Reference</w:t>
      </w:r>
    </w:p>
    <w:p>
      <w:pPr>
        <w:spacing w:before="0" w:after="80"/>
        <w:ind w:left="432"/>
      </w:pPr>
      <w:r>
        <w:rPr>
          <w:rFonts w:ascii="Arial" w:hAnsi="Arial"/>
          <w:color w:val="444444"/>
          <w:sz w:val="18"/>
        </w:rPr>
        <w:t>Reference your incident response plan and describe how cyber incidents involving CUI will be reported to DIBNet within 72 hours.</w:t>
      </w:r>
    </w:p>
    <w:p>
      <w:pPr>
        <w:spacing w:before="120" w:after="20"/>
      </w:pPr>
      <w:r>
        <w:rPr>
          <w:rFonts w:ascii="Arial" w:hAnsi="Arial"/>
          <w:b/>
          <w:color w:val="0A1F3F"/>
          <w:sz w:val="20"/>
        </w:rPr>
        <w:t>13. Revision History</w:t>
      </w:r>
    </w:p>
    <w:p>
      <w:pPr>
        <w:spacing w:before="0" w:after="80"/>
        <w:ind w:left="432"/>
      </w:pPr>
      <w:r>
        <w:rPr>
          <w:rFonts w:ascii="Arial" w:hAnsi="Arial"/>
          <w:color w:val="444444"/>
          <w:sz w:val="18"/>
        </w:rPr>
        <w:t>Track all changes to the SSP with dates, descriptions, and responsible personnel.</w:t>
      </w:r>
    </w:p>
    <w:p>
      <w:pPr>
        <w:spacing w:before="280" w:after="120"/>
      </w:pPr>
      <w:r>
        <w:rPr>
          <w:rFonts w:ascii="Arial" w:hAnsi="Arial"/>
          <w:b/>
          <w:color w:val="0A1F3F"/>
          <w:sz w:val="24"/>
        </w:rPr>
        <w:t>SSP BEST PRACTICES</w:t>
      </w:r>
    </w:p>
    <w:p>
      <w:pPr>
        <w:spacing w:before="40" w:after="40"/>
        <w:ind w:left="360"/>
      </w:pPr>
      <w:r>
        <w:rPr>
          <w:rFonts w:ascii="Arial" w:hAnsi="Arial"/>
          <w:color w:val="C8962E"/>
          <w:sz w:val="24"/>
        </w:rPr>
        <w:t xml:space="preserve">☐  </w:t>
      </w:r>
      <w:r>
        <w:rPr>
          <w:rFonts w:ascii="Arial" w:hAnsi="Arial"/>
          <w:color w:val="333333"/>
          <w:sz w:val="19"/>
        </w:rPr>
        <w:t>Use clear, plain language — assessors should understand your implementation without guessing.</w:t>
      </w:r>
    </w:p>
    <w:p>
      <w:pPr>
        <w:spacing w:before="40" w:after="40"/>
        <w:ind w:left="360"/>
      </w:pPr>
      <w:r>
        <w:rPr>
          <w:rFonts w:ascii="Arial" w:hAnsi="Arial"/>
          <w:color w:val="C8962E"/>
          <w:sz w:val="24"/>
        </w:rPr>
        <w:t xml:space="preserve">☐  </w:t>
      </w:r>
      <w:r>
        <w:rPr>
          <w:rFonts w:ascii="Arial" w:hAnsi="Arial"/>
          <w:color w:val="333333"/>
          <w:sz w:val="19"/>
        </w:rPr>
        <w:t>Include diagrams: network topology, data flow, and system boundary visuals.</w:t>
      </w:r>
    </w:p>
    <w:p>
      <w:pPr>
        <w:spacing w:before="40" w:after="40"/>
        <w:ind w:left="360"/>
      </w:pPr>
      <w:r>
        <w:rPr>
          <w:rFonts w:ascii="Arial" w:hAnsi="Arial"/>
          <w:color w:val="C8962E"/>
          <w:sz w:val="24"/>
        </w:rPr>
        <w:t xml:space="preserve">☐  </w:t>
      </w:r>
      <w:r>
        <w:rPr>
          <w:rFonts w:ascii="Arial" w:hAnsi="Arial"/>
          <w:color w:val="333333"/>
          <w:sz w:val="19"/>
        </w:rPr>
        <w:t>Map each of the 110 controls to a specific implementation description.</w:t>
      </w:r>
    </w:p>
    <w:p>
      <w:pPr>
        <w:spacing w:before="40" w:after="40"/>
        <w:ind w:left="360"/>
      </w:pPr>
      <w:r>
        <w:rPr>
          <w:rFonts w:ascii="Arial" w:hAnsi="Arial"/>
          <w:color w:val="C8962E"/>
          <w:sz w:val="24"/>
        </w:rPr>
        <w:t xml:space="preserve">☐  </w:t>
      </w:r>
      <w:r>
        <w:rPr>
          <w:rFonts w:ascii="Arial" w:hAnsi="Arial"/>
          <w:color w:val="333333"/>
          <w:sz w:val="19"/>
        </w:rPr>
        <w:t>Reference policies and procedures by name and version.</w:t>
      </w:r>
    </w:p>
    <w:p>
      <w:pPr>
        <w:spacing w:before="40" w:after="40"/>
        <w:ind w:left="360"/>
      </w:pPr>
      <w:r>
        <w:rPr>
          <w:rFonts w:ascii="Arial" w:hAnsi="Arial"/>
          <w:color w:val="C8962E"/>
          <w:sz w:val="24"/>
        </w:rPr>
        <w:t xml:space="preserve">☐  </w:t>
      </w:r>
      <w:r>
        <w:rPr>
          <w:rFonts w:ascii="Arial" w:hAnsi="Arial"/>
          <w:color w:val="333333"/>
          <w:sz w:val="19"/>
        </w:rPr>
        <w:t>Review and update the SSP at least annually or after significant changes.</w:t>
      </w:r>
    </w:p>
    <w:p>
      <w:pPr>
        <w:spacing w:before="40" w:after="40"/>
        <w:ind w:left="360"/>
      </w:pPr>
      <w:r>
        <w:rPr>
          <w:rFonts w:ascii="Arial" w:hAnsi="Arial"/>
          <w:color w:val="C8962E"/>
          <w:sz w:val="24"/>
        </w:rPr>
        <w:t xml:space="preserve">☐  </w:t>
      </w:r>
      <w:r>
        <w:rPr>
          <w:rFonts w:ascii="Arial" w:hAnsi="Arial"/>
          <w:color w:val="333333"/>
          <w:sz w:val="19"/>
        </w:rPr>
        <w:t>Store the SSP securely — it contains sensitive security details.</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