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spacing w:before="0" w:after="80"/>
        <w:jc w:val="center"/>
      </w:pPr>
      <w:r>
        <w:rPr>
          <w:rFonts w:ascii="Arial" w:hAnsi="Arial"/>
          <w:b/>
          <w:color w:val="C8962E"/>
          <w:sz w:val="18"/>
        </w:rPr>
        <w:t>CMMC TRAINING PROGRAM — COURSE 1</w:t>
      </w:r>
    </w:p>
    <w:p>
      <w:pPr>
        <w:spacing w:before="0" w:after="40"/>
        <w:jc w:val="center"/>
      </w:pPr>
      <w:r>
        <w:rPr>
          <w:rFonts w:ascii="Arial" w:hAnsi="Arial"/>
          <w:b/>
          <w:color w:val="0A1F3F"/>
          <w:sz w:val="52"/>
        </w:rPr>
        <w:t>Contract Language</w:t>
      </w:r>
    </w:p>
    <w:p>
      <w:pPr>
        <w:spacing w:before="0" w:after="80"/>
        <w:jc w:val="center"/>
      </w:pPr>
      <w:r>
        <w:rPr>
          <w:rFonts w:ascii="Arial" w:hAnsi="Arial"/>
          <w:color w:val="1A3A5C"/>
          <w:sz w:val="32"/>
        </w:rPr>
        <w:t>Review Checklist for CMMC Level Determination</w:t>
      </w:r>
    </w:p>
    <w:p>
      <w:pPr>
        <w:spacing w:before="0" w:after="120"/>
        <w:jc w:val="center"/>
      </w:pPr>
      <w:r>
        <w:rPr>
          <w:rFonts w:ascii="Arial" w:hAnsi="Arial"/>
          <w:color w:val="999999"/>
          <w:sz w:val="18"/>
        </w:rPr>
        <w:t>Lesson 3.4 — Resource Document</w:t>
      </w:r>
    </w:p>
    <w:p>
      <w:pPr>
        <w:spacing w:before="40" w:after="40"/>
        <w:pBdr>
          <w:bottom w:val="single" w:sz="12" w:space="1" w:color="C8962E"/>
        </w:pBdr>
      </w:pPr>
    </w:p>
    <w:p>
      <w:pPr>
        <w:spacing w:before="240" w:after="80"/>
      </w:pPr>
      <w:r>
        <w:rPr>
          <w:rFonts w:ascii="Arial" w:hAnsi="Arial"/>
          <w:b/>
          <w:color w:val="0A1F3F"/>
          <w:sz w:val="22"/>
        </w:rPr>
        <w:t>INSTRUCTIONS</w:t>
      </w:r>
    </w:p>
    <w:p>
      <w:pPr>
        <w:spacing w:before="0" w:after="160"/>
      </w:pPr>
      <w:r>
        <w:rPr>
          <w:rFonts w:ascii="Arial" w:hAnsi="Arial"/>
          <w:color w:val="444444"/>
          <w:sz w:val="20"/>
        </w:rPr>
        <w:t>Use this checklist when reviewing new or existing DoD contracts to identify CMMC-relevant clauses. Go through each contract line by line and check for the clauses listed below. The presence or absence of these clauses determines your CMMC level requirement. Share this with your contracts, legal, and compliance teams to ensure no clause is missed during bid/no-bid decisions or contract renewals.</w:t>
      </w:r>
    </w:p>
    <w:p>
      <w:pPr>
        <w:spacing w:before="280" w:after="120"/>
      </w:pPr>
      <w:r>
        <w:rPr>
          <w:rFonts w:ascii="Arial" w:hAnsi="Arial"/>
          <w:b/>
          <w:color w:val="0A1F3F"/>
          <w:sz w:val="24"/>
        </w:rPr>
        <w:t>CRITICAL CONTRACT CLAUSES TO IDENTIFY</w:t>
      </w:r>
    </w:p>
    <w:tbl>
      <w:tblPr>
        <w:tblW w:type="auto" w:w="0"/>
        <w:jc w:val="center"/>
        <w:tblLayout w:type="autofit"/>
        <w:tblLook w:firstColumn="1" w:firstRow="1" w:lastColumn="0" w:lastRow="0" w:noHBand="0" w:noVBand="1" w:val="04A0"/>
      </w:tblPr>
      <w:tblGrid>
        <w:gridCol w:w="3360"/>
        <w:gridCol w:w="3360"/>
        <w:gridCol w:w="3360"/>
      </w:tblGrid>
      <w:tr>
        <w:tc>
          <w:tcPr>
            <w:tcW w:type="dxa" w:w="2160"/>
            <w:shd w:fill="0A1F3F" w:val="clear"/>
            <w:tcBorders>
              <w:top w:val="single" w:sz="4" w:space="0" w:color="CCCCCC"/>
              <w:bottom w:val="single" w:sz="4" w:space="0" w:color="CCCCCC"/>
              <w:left w:val="single" w:sz="4" w:space="0" w:color="CCCCCC"/>
              <w:right w:val="single" w:sz="4" w:space="0" w:color="CCCCCC"/>
            </w:tcBorders>
          </w:tcPr>
          <w:p>
            <w:pPr>
              <w:spacing w:before="120" w:after="120"/>
              <w:jc w:val="center"/>
            </w:pPr>
            <w:r>
              <w:rPr>
                <w:rFonts w:ascii="Arial" w:hAnsi="Arial"/>
                <w:b/>
                <w:color w:val="FFFFFF"/>
                <w:sz w:val="18"/>
              </w:rPr>
              <w:t>CLAUSE</w:t>
            </w:r>
          </w:p>
        </w:tc>
        <w:tc>
          <w:tcPr>
            <w:tcW w:type="dxa" w:w="3600"/>
            <w:shd w:fill="0A1F3F" w:val="clear"/>
            <w:tcBorders>
              <w:top w:val="single" w:sz="4" w:space="0" w:color="CCCCCC"/>
              <w:bottom w:val="single" w:sz="4" w:space="0" w:color="CCCCCC"/>
              <w:left w:val="single" w:sz="4" w:space="0" w:color="CCCCCC"/>
              <w:right w:val="single" w:sz="4" w:space="0" w:color="CCCCCC"/>
            </w:tcBorders>
          </w:tcPr>
          <w:p>
            <w:pPr>
              <w:spacing w:before="120" w:after="120"/>
              <w:jc w:val="center"/>
            </w:pPr>
            <w:r>
              <w:rPr>
                <w:rFonts w:ascii="Arial" w:hAnsi="Arial"/>
                <w:b/>
                <w:color w:val="FFFFFF"/>
                <w:sz w:val="18"/>
              </w:rPr>
              <w:t>TITLE</w:t>
            </w:r>
          </w:p>
        </w:tc>
        <w:tc>
          <w:tcPr>
            <w:tcW w:type="dxa" w:w="4320"/>
            <w:shd w:fill="0A1F3F" w:val="clear"/>
            <w:tcBorders>
              <w:top w:val="single" w:sz="4" w:space="0" w:color="CCCCCC"/>
              <w:bottom w:val="single" w:sz="4" w:space="0" w:color="CCCCCC"/>
              <w:left w:val="single" w:sz="4" w:space="0" w:color="CCCCCC"/>
              <w:right w:val="single" w:sz="4" w:space="0" w:color="CCCCCC"/>
            </w:tcBorders>
          </w:tcPr>
          <w:p>
            <w:pPr>
              <w:spacing w:before="120" w:after="120"/>
              <w:jc w:val="center"/>
            </w:pPr>
            <w:r>
              <w:rPr>
                <w:rFonts w:ascii="Arial" w:hAnsi="Arial"/>
                <w:b/>
                <w:color w:val="FFFFFF"/>
                <w:sz w:val="18"/>
              </w:rPr>
              <w:t>IMPLICATION</w:t>
            </w:r>
          </w:p>
        </w:tc>
      </w:tr>
      <w:tr>
        <w:tc>
          <w:tcPr>
            <w:tcW w:type="dxa" w:w="2160"/>
            <w:shd w:fill="E8EDF2"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b/>
                <w:color w:val="0A1F3F"/>
                <w:sz w:val="18"/>
              </w:rPr>
              <w:t>FAR 52.204-21</w:t>
            </w:r>
          </w:p>
        </w:tc>
        <w:tc>
          <w:tcPr>
            <w:tcW w:type="dxa" w:w="3600"/>
            <w:shd w:fill="FFF8E7"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color w:val="333333"/>
                <w:sz w:val="18"/>
              </w:rPr>
              <w:t>Basic Safeguarding of Covered Contractor Information Systems</w:t>
            </w:r>
          </w:p>
        </w:tc>
        <w:tc>
          <w:tcPr>
            <w:tcW w:type="dxa" w:w="4320"/>
            <w:shd w:fill="FFF8E7"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color w:val="333333"/>
                <w:sz w:val="18"/>
              </w:rPr>
              <w:t>Indicates FCI handling → CMMC Level 1 minimum</w:t>
            </w:r>
          </w:p>
        </w:tc>
      </w:tr>
      <w:tr>
        <w:tc>
          <w:tcPr>
            <w:tcW w:type="dxa" w:w="2160"/>
            <w:shd w:fill="E8EDF2"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b/>
                <w:color w:val="0A1F3F"/>
                <w:sz w:val="18"/>
              </w:rPr>
              <w:t>DFARS 252.204-7012</w:t>
            </w:r>
          </w:p>
        </w:tc>
        <w:tc>
          <w:tcPr>
            <w:tcW w:type="dxa" w:w="3600"/>
            <w:shd w:fill="FFFFFF"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color w:val="333333"/>
                <w:sz w:val="18"/>
              </w:rPr>
              <w:t>Safeguarding Covered Defense Information and Cyber Incident Reporting</w:t>
            </w:r>
          </w:p>
        </w:tc>
        <w:tc>
          <w:tcPr>
            <w:tcW w:type="dxa" w:w="4320"/>
            <w:shd w:fill="FFFFFF"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color w:val="333333"/>
                <w:sz w:val="18"/>
              </w:rPr>
              <w:t>Indicates CUI handling → CMMC Level 2 required</w:t>
            </w:r>
          </w:p>
        </w:tc>
      </w:tr>
      <w:tr>
        <w:tc>
          <w:tcPr>
            <w:tcW w:type="dxa" w:w="2160"/>
            <w:shd w:fill="E8EDF2"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b/>
                <w:color w:val="0A1F3F"/>
                <w:sz w:val="18"/>
              </w:rPr>
              <w:t>DFARS 252.204-7019</w:t>
            </w:r>
          </w:p>
        </w:tc>
        <w:tc>
          <w:tcPr>
            <w:tcW w:type="dxa" w:w="3600"/>
            <w:shd w:fill="FFF8E7"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color w:val="333333"/>
                <w:sz w:val="18"/>
              </w:rPr>
              <w:t>Notice of NIST SP 800-171 DoD Assessment Requirements</w:t>
            </w:r>
          </w:p>
        </w:tc>
        <w:tc>
          <w:tcPr>
            <w:tcW w:type="dxa" w:w="4320"/>
            <w:shd w:fill="FFF8E7"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color w:val="333333"/>
                <w:sz w:val="18"/>
              </w:rPr>
              <w:t>Requires current NIST 800-171 assessment in SPRS</w:t>
            </w:r>
          </w:p>
        </w:tc>
      </w:tr>
      <w:tr>
        <w:tc>
          <w:tcPr>
            <w:tcW w:type="dxa" w:w="2160"/>
            <w:shd w:fill="E8EDF2"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b/>
                <w:color w:val="0A1F3F"/>
                <w:sz w:val="18"/>
              </w:rPr>
              <w:t>DFARS 252.204-7020</w:t>
            </w:r>
          </w:p>
        </w:tc>
        <w:tc>
          <w:tcPr>
            <w:tcW w:type="dxa" w:w="3600"/>
            <w:shd w:fill="FFFFFF"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color w:val="333333"/>
                <w:sz w:val="18"/>
              </w:rPr>
              <w:t>NIST SP 800-171 DoD Assessment Requirements</w:t>
            </w:r>
          </w:p>
        </w:tc>
        <w:tc>
          <w:tcPr>
            <w:tcW w:type="dxa" w:w="4320"/>
            <w:shd w:fill="FFFFFF"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color w:val="333333"/>
                <w:sz w:val="18"/>
              </w:rPr>
              <w:t>Government may conduct higher-level assessment of contractor</w:t>
            </w:r>
          </w:p>
        </w:tc>
      </w:tr>
      <w:tr>
        <w:tc>
          <w:tcPr>
            <w:tcW w:type="dxa" w:w="2160"/>
            <w:shd w:fill="E8EDF2"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b/>
                <w:color w:val="0A1F3F"/>
                <w:sz w:val="18"/>
              </w:rPr>
              <w:t>DFARS 252.204-7021</w:t>
            </w:r>
          </w:p>
        </w:tc>
        <w:tc>
          <w:tcPr>
            <w:tcW w:type="dxa" w:w="3600"/>
            <w:shd w:fill="FFF8E7"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color w:val="333333"/>
                <w:sz w:val="18"/>
              </w:rPr>
              <w:t>Cybersecurity Maturity Model Certification Requirements</w:t>
            </w:r>
          </w:p>
        </w:tc>
        <w:tc>
          <w:tcPr>
            <w:tcW w:type="dxa" w:w="4320"/>
            <w:shd w:fill="FFF8E7"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color w:val="333333"/>
                <w:sz w:val="18"/>
              </w:rPr>
              <w:t>Specifies required CMMC level for the contract</w:t>
            </w:r>
          </w:p>
        </w:tc>
      </w:tr>
      <w:tr>
        <w:tc>
          <w:tcPr>
            <w:tcW w:type="dxa" w:w="2160"/>
            <w:shd w:fill="E8EDF2"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b/>
                <w:color w:val="0A1F3F"/>
                <w:sz w:val="18"/>
              </w:rPr>
              <w:t>DFARS 252.239-7010</w:t>
            </w:r>
          </w:p>
        </w:tc>
        <w:tc>
          <w:tcPr>
            <w:tcW w:type="dxa" w:w="3600"/>
            <w:shd w:fill="FFFFFF"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color w:val="333333"/>
                <w:sz w:val="18"/>
              </w:rPr>
              <w:t>Cloud Computing Services</w:t>
            </w:r>
          </w:p>
        </w:tc>
        <w:tc>
          <w:tcPr>
            <w:tcW w:type="dxa" w:w="4320"/>
            <w:shd w:fill="FFFFFF"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color w:val="333333"/>
                <w:sz w:val="18"/>
              </w:rPr>
              <w:t>CUI in cloud must meet FedRAMP Moderate equivalent</w:t>
            </w:r>
          </w:p>
        </w:tc>
      </w:tr>
    </w:tbl>
    <w:p>
      <w:pPr>
        <w:spacing w:before="280" w:after="120"/>
      </w:pPr>
      <w:r>
        <w:rPr>
          <w:rFonts w:ascii="Arial" w:hAnsi="Arial"/>
          <w:b/>
          <w:color w:val="0A1F3F"/>
          <w:sz w:val="24"/>
        </w:rPr>
        <w:t>CONTRACT REVIEW CHECKLIST</w:t>
      </w:r>
    </w:p>
    <w:p>
      <w:pPr>
        <w:spacing w:before="40" w:after="40"/>
        <w:ind w:left="360"/>
      </w:pPr>
      <w:r>
        <w:rPr>
          <w:rFonts w:ascii="Arial" w:hAnsi="Arial"/>
          <w:color w:val="C8962E"/>
          <w:sz w:val="24"/>
        </w:rPr>
        <w:t xml:space="preserve">☐  </w:t>
      </w:r>
      <w:r>
        <w:rPr>
          <w:rFonts w:ascii="Arial" w:hAnsi="Arial"/>
          <w:color w:val="333333"/>
          <w:sz w:val="19"/>
        </w:rPr>
        <w:t>Reviewed the contract for FAR 52.204-21 (Basic Safeguarding) clause.</w:t>
      </w:r>
    </w:p>
    <w:p>
      <w:pPr>
        <w:spacing w:before="40" w:after="40"/>
        <w:ind w:left="360"/>
      </w:pPr>
      <w:r>
        <w:rPr>
          <w:rFonts w:ascii="Arial" w:hAnsi="Arial"/>
          <w:color w:val="C8962E"/>
          <w:sz w:val="24"/>
        </w:rPr>
        <w:t xml:space="preserve">☐  </w:t>
      </w:r>
      <w:r>
        <w:rPr>
          <w:rFonts w:ascii="Arial" w:hAnsi="Arial"/>
          <w:color w:val="333333"/>
          <w:sz w:val="19"/>
        </w:rPr>
        <w:t>Reviewed the contract for DFARS 252.204-7012 (CUI Safeguarding) clause.</w:t>
      </w:r>
    </w:p>
    <w:p>
      <w:pPr>
        <w:spacing w:before="40" w:after="40"/>
        <w:ind w:left="360"/>
      </w:pPr>
      <w:r>
        <w:rPr>
          <w:rFonts w:ascii="Arial" w:hAnsi="Arial"/>
          <w:color w:val="C8962E"/>
          <w:sz w:val="24"/>
        </w:rPr>
        <w:t xml:space="preserve">☐  </w:t>
      </w:r>
      <w:r>
        <w:rPr>
          <w:rFonts w:ascii="Arial" w:hAnsi="Arial"/>
          <w:color w:val="333333"/>
          <w:sz w:val="19"/>
        </w:rPr>
        <w:t>Reviewed the contract for DFARS 252.204-7019 (NIST Assessment Notice) clause.</w:t>
      </w:r>
    </w:p>
    <w:p>
      <w:pPr>
        <w:spacing w:before="40" w:after="40"/>
        <w:ind w:left="360"/>
      </w:pPr>
      <w:r>
        <w:rPr>
          <w:rFonts w:ascii="Arial" w:hAnsi="Arial"/>
          <w:color w:val="C8962E"/>
          <w:sz w:val="24"/>
        </w:rPr>
        <w:t xml:space="preserve">☐  </w:t>
      </w:r>
      <w:r>
        <w:rPr>
          <w:rFonts w:ascii="Arial" w:hAnsi="Arial"/>
          <w:color w:val="333333"/>
          <w:sz w:val="19"/>
        </w:rPr>
        <w:t>Reviewed the contract for DFARS 252.204-7020 (DoD Assessment Requirements) clause.</w:t>
      </w:r>
    </w:p>
    <w:p>
      <w:pPr>
        <w:spacing w:before="40" w:after="40"/>
        <w:ind w:left="360"/>
      </w:pPr>
      <w:r>
        <w:rPr>
          <w:rFonts w:ascii="Arial" w:hAnsi="Arial"/>
          <w:color w:val="C8962E"/>
          <w:sz w:val="24"/>
        </w:rPr>
        <w:t xml:space="preserve">☐  </w:t>
      </w:r>
      <w:r>
        <w:rPr>
          <w:rFonts w:ascii="Arial" w:hAnsi="Arial"/>
          <w:color w:val="333333"/>
          <w:sz w:val="19"/>
        </w:rPr>
        <w:t>Reviewed the contract for DFARS 252.204-7021 (CMMC Requirements) clause.</w:t>
      </w:r>
    </w:p>
    <w:p>
      <w:pPr>
        <w:spacing w:before="40" w:after="40"/>
        <w:ind w:left="360"/>
      </w:pPr>
      <w:r>
        <w:rPr>
          <w:rFonts w:ascii="Arial" w:hAnsi="Arial"/>
          <w:color w:val="C8962E"/>
          <w:sz w:val="24"/>
        </w:rPr>
        <w:t xml:space="preserve">☐  </w:t>
      </w:r>
      <w:r>
        <w:rPr>
          <w:rFonts w:ascii="Arial" w:hAnsi="Arial"/>
          <w:color w:val="333333"/>
          <w:sz w:val="19"/>
        </w:rPr>
        <w:t>Identified the specified CMMC level in DFARS 252.204-7021.</w:t>
      </w:r>
    </w:p>
    <w:p>
      <w:pPr>
        <w:spacing w:before="40" w:after="40"/>
        <w:ind w:left="360"/>
      </w:pPr>
      <w:r>
        <w:rPr>
          <w:rFonts w:ascii="Arial" w:hAnsi="Arial"/>
          <w:color w:val="C8962E"/>
          <w:sz w:val="24"/>
        </w:rPr>
        <w:t xml:space="preserve">☐  </w:t>
      </w:r>
      <w:r>
        <w:rPr>
          <w:rFonts w:ascii="Arial" w:hAnsi="Arial"/>
          <w:color w:val="333333"/>
          <w:sz w:val="19"/>
        </w:rPr>
        <w:t>Checked for cloud computing clauses (DFARS 252.239-7010).</w:t>
      </w:r>
    </w:p>
    <w:p>
      <w:pPr>
        <w:spacing w:before="40" w:after="40"/>
        <w:ind w:left="360"/>
      </w:pPr>
      <w:r>
        <w:rPr>
          <w:rFonts w:ascii="Arial" w:hAnsi="Arial"/>
          <w:color w:val="C8962E"/>
          <w:sz w:val="24"/>
        </w:rPr>
        <w:t xml:space="preserve">☐  </w:t>
      </w:r>
      <w:r>
        <w:rPr>
          <w:rFonts w:ascii="Arial" w:hAnsi="Arial"/>
          <w:color w:val="333333"/>
          <w:sz w:val="19"/>
        </w:rPr>
        <w:t>Reviewed Statement of Work (SOW) for CUI data descriptions.</w:t>
      </w:r>
    </w:p>
    <w:p>
      <w:pPr>
        <w:spacing w:before="40" w:after="40"/>
        <w:ind w:left="360"/>
      </w:pPr>
      <w:r>
        <w:rPr>
          <w:rFonts w:ascii="Arial" w:hAnsi="Arial"/>
          <w:color w:val="C8962E"/>
          <w:sz w:val="24"/>
        </w:rPr>
        <w:t xml:space="preserve">☐  </w:t>
      </w:r>
      <w:r>
        <w:rPr>
          <w:rFonts w:ascii="Arial" w:hAnsi="Arial"/>
          <w:color w:val="333333"/>
          <w:sz w:val="19"/>
        </w:rPr>
        <w:t>Identified CUI categories referenced in the contract or attachments.</w:t>
      </w:r>
    </w:p>
    <w:p>
      <w:pPr>
        <w:spacing w:before="40" w:after="40"/>
        <w:ind w:left="360"/>
      </w:pPr>
      <w:r>
        <w:rPr>
          <w:rFonts w:ascii="Arial" w:hAnsi="Arial"/>
          <w:color w:val="C8962E"/>
          <w:sz w:val="24"/>
        </w:rPr>
        <w:t xml:space="preserve">☐  </w:t>
      </w:r>
      <w:r>
        <w:rPr>
          <w:rFonts w:ascii="Arial" w:hAnsi="Arial"/>
          <w:color w:val="333333"/>
          <w:sz w:val="19"/>
        </w:rPr>
        <w:t>Reviewed subcontractor flow-down requirements for CMMC clauses.</w:t>
      </w:r>
    </w:p>
    <w:p>
      <w:pPr>
        <w:spacing w:before="40" w:after="40"/>
        <w:ind w:left="360"/>
      </w:pPr>
      <w:r>
        <w:rPr>
          <w:rFonts w:ascii="Arial" w:hAnsi="Arial"/>
          <w:color w:val="C8962E"/>
          <w:sz w:val="24"/>
        </w:rPr>
        <w:t xml:space="preserve">☐  </w:t>
      </w:r>
      <w:r>
        <w:rPr>
          <w:rFonts w:ascii="Arial" w:hAnsi="Arial"/>
          <w:color w:val="333333"/>
          <w:sz w:val="19"/>
        </w:rPr>
        <w:t>Confirmed whether self-assessment or C3PAO assessment is required.</w:t>
      </w:r>
    </w:p>
    <w:p>
      <w:pPr>
        <w:spacing w:before="40" w:after="40"/>
        <w:ind w:left="360"/>
      </w:pPr>
      <w:r>
        <w:rPr>
          <w:rFonts w:ascii="Arial" w:hAnsi="Arial"/>
          <w:color w:val="C8962E"/>
          <w:sz w:val="24"/>
        </w:rPr>
        <w:t xml:space="preserve">☐  </w:t>
      </w:r>
      <w:r>
        <w:rPr>
          <w:rFonts w:ascii="Arial" w:hAnsi="Arial"/>
          <w:color w:val="333333"/>
          <w:sz w:val="19"/>
        </w:rPr>
        <w:t>Documented findings and shared with compliance and IT security teams.</w:t>
      </w:r>
    </w:p>
    <w:p>
      <w:pPr>
        <w:spacing w:before="280" w:after="120"/>
      </w:pPr>
      <w:r>
        <w:rPr>
          <w:rFonts w:ascii="Arial" w:hAnsi="Arial"/>
          <w:b/>
          <w:color w:val="0A1F3F"/>
          <w:sz w:val="24"/>
        </w:rPr>
        <w:t>LEVEL DETERMINATION QUICK REFERENCE</w:t>
      </w:r>
    </w:p>
    <w:tbl>
      <w:tblPr>
        <w:tblW w:type="auto" w:w="0"/>
        <w:jc w:val="center"/>
        <w:tblLook w:firstColumn="1" w:firstRow="1" w:lastColumn="0" w:lastRow="0" w:noHBand="0" w:noVBand="1" w:val="04A0"/>
      </w:tblPr>
      <w:tblGrid>
        <w:gridCol w:w="10080"/>
      </w:tblGrid>
      <w:tr>
        <w:tc>
          <w:tcPr>
            <w:tcW w:type="dxa" w:w="10080"/>
            <w:shd w:fill="FFF8E7" w:val="clear"/>
            <w:tcBorders>
              <w:top w:val="single" w:sz="8" w:space="0" w:color="C8962E"/>
              <w:bottom w:val="single" w:sz="8" w:space="0" w:color="C8962E"/>
              <w:left w:val="single" w:sz="8" w:space="0" w:color="C8962E"/>
              <w:right w:val="single" w:sz="8" w:space="0" w:color="C8962E"/>
            </w:tcBorders>
          </w:tcPr>
          <w:p>
            <w:pPr>
              <w:spacing w:before="120" w:after="120"/>
              <w:jc w:val="center"/>
            </w:pPr>
            <w:r>
              <w:rPr>
                <w:rFonts w:ascii="Arial" w:hAnsi="Arial"/>
                <w:b/>
                <w:color w:val="0A1F3F"/>
                <w:sz w:val="20"/>
              </w:rPr>
              <w:t>FAR 52.204-21 only → Level 1 (Self-Assessment)</w:t>
            </w:r>
          </w:p>
          <w:p>
            <w:pPr>
              <w:spacing w:before="120" w:after="120"/>
              <w:jc w:val="center"/>
            </w:pPr>
            <w:r>
              <w:rPr>
                <w:rFonts w:ascii="Arial" w:hAnsi="Arial"/>
                <w:b/>
                <w:color w:val="0A1F3F"/>
                <w:sz w:val="20"/>
              </w:rPr>
              <w:t>DFARS 252.204-7012 + Self-Assessment → Level 2 (Self-Assessment)</w:t>
            </w:r>
          </w:p>
          <w:p>
            <w:pPr>
              <w:spacing w:before="120" w:after="120"/>
              <w:jc w:val="center"/>
            </w:pPr>
            <w:r>
              <w:rPr>
                <w:rFonts w:ascii="Arial" w:hAnsi="Arial"/>
                <w:b/>
                <w:color w:val="0A1F3F"/>
                <w:sz w:val="20"/>
              </w:rPr>
              <w:t>DFARS 252.204-7012 + C3PAO Required → Level 2 (C3PAO Assessment)</w:t>
            </w:r>
          </w:p>
        </w:tc>
      </w:tr>
    </w:tbl>
    <w:p>
      <w:pPr>
        <w:spacing w:before="40" w:after="40"/>
        <w:pBdr>
          <w:bottom w:val="single" w:sz="12" w:space="1" w:color="C8962E"/>
        </w:pBdr>
      </w:pPr>
    </w:p>
    <w:p>
      <w:pPr>
        <w:spacing w:before="200" w:after="40"/>
        <w:jc w:val="center"/>
      </w:pPr>
      <w:r>
        <w:rPr>
          <w:rFonts w:ascii="Arial" w:hAnsi="Arial"/>
          <w:color w:val="999999"/>
          <w:sz w:val="16"/>
        </w:rPr>
        <w:t>CMMC Training Program — Course 1</w:t>
      </w:r>
    </w:p>
    <w:p>
      <w:pPr>
        <w:spacing w:before="40" w:after="40"/>
        <w:jc w:val="center"/>
      </w:pPr>
      <w:r>
        <w:rPr>
          <w:rFonts w:ascii="Arial" w:hAnsi="Arial"/>
          <w:color w:val="666666"/>
          <w:sz w:val="18"/>
        </w:rPr>
        <w:t>For more resources, templates, and compliance guidance visit:</w:t>
      </w:r>
    </w:p>
    <w:p>
      <w:pPr>
        <w:spacing w:before="40" w:after="0"/>
        <w:jc w:val="center"/>
      </w:pPr>
      <w:r>
        <w:rPr>
          <w:rFonts w:ascii="Arial" w:hAnsi="Arial"/>
          <w:b/>
          <w:color w:val="C8962E"/>
          <w:sz w:val="22"/>
          <w:u w:val="single"/>
        </w:rPr>
        <w:t>www.easycompliances.net</w:t>
      </w:r>
    </w:p>
    <w:p>
      <w:pPr>
        <w:spacing w:before="120" w:after="0"/>
        <w:jc w:val="center"/>
      </w:pPr>
      <w:r>
        <w:rPr>
          <w:rFonts w:ascii="Arial" w:hAnsi="Arial"/>
          <w:color w:val="BBBBBB"/>
          <w:sz w:val="14"/>
        </w:rPr>
        <w:t>© 2026 Easy Compliances. All Rights Reserved.</w:t>
      </w:r>
    </w:p>
    <w:sectPr w:rsidR="00FC693F" w:rsidRPr="0006063C" w:rsidSect="00034616">
      <w:pgSz w:w="12240" w:h="15840"/>
      <w:pgMar w:top="1080" w:right="1080" w:bottom="1080" w:left="108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Arial" w:hAnsi="Arial"/>
      <w:color w:val="333333"/>
      <w:sz w:val="20"/>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