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0" w:after="80"/>
        <w:jc w:val="center"/>
      </w:pPr>
      <w:r>
        <w:rPr>
          <w:rFonts w:ascii="Arial" w:hAnsi="Arial"/>
          <w:b/>
          <w:color w:val="C8962E"/>
          <w:sz w:val="18"/>
        </w:rPr>
        <w:t>CMMC TRAINING PROGRAM — COURSE 1</w:t>
      </w:r>
    </w:p>
    <w:p>
      <w:pPr>
        <w:spacing w:before="0" w:after="40"/>
        <w:jc w:val="center"/>
      </w:pPr>
      <w:r>
        <w:rPr>
          <w:rFonts w:ascii="Arial" w:hAnsi="Arial"/>
          <w:b/>
          <w:color w:val="0A1F3F"/>
          <w:sz w:val="52"/>
        </w:rPr>
        <w:t>CMMC Applicability</w:t>
      </w:r>
    </w:p>
    <w:p>
      <w:pPr>
        <w:spacing w:before="0" w:after="80"/>
        <w:jc w:val="center"/>
      </w:pPr>
      <w:r>
        <w:rPr>
          <w:rFonts w:ascii="Arial" w:hAnsi="Arial"/>
          <w:color w:val="1A3A5C"/>
          <w:sz w:val="32"/>
        </w:rPr>
        <w:t>Decision Flowchart</w:t>
      </w:r>
    </w:p>
    <w:p>
      <w:pPr>
        <w:spacing w:before="0" w:after="120"/>
        <w:jc w:val="center"/>
      </w:pPr>
      <w:r>
        <w:rPr>
          <w:rFonts w:ascii="Arial" w:hAnsi="Arial"/>
          <w:color w:val="999999"/>
          <w:sz w:val="18"/>
        </w:rPr>
        <w:t>Lesson 2.5 — Resource Document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40" w:after="80"/>
      </w:pPr>
      <w:r>
        <w:rPr>
          <w:rFonts w:ascii="Arial" w:hAnsi="Arial"/>
          <w:b/>
          <w:color w:val="0A1F3F"/>
          <w:sz w:val="22"/>
        </w:rPr>
        <w:t>INSTRUCTIONS</w:t>
      </w:r>
    </w:p>
    <w:p>
      <w:pPr>
        <w:spacing w:before="0" w:after="160"/>
      </w:pPr>
      <w:r>
        <w:rPr>
          <w:rFonts w:ascii="Arial" w:hAnsi="Arial"/>
          <w:color w:val="444444"/>
          <w:sz w:val="20"/>
        </w:rPr>
        <w:t>Use this decision flowchart to determine whether CMMC applies to your organization and at which level. Walk through each question sequentially — start at Question 1 and follow the path based on your answers. This tool is ideal for initial scoping meetings, pre-bid evaluations, and subcontractor assessments. Print it, share it with your contracts team, and revisit it each time you pursue a new DoD opportunity.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DECISION FLOWCHART</w:t>
      </w:r>
    </w:p>
    <w:p>
      <w:pPr>
        <w:spacing w:before="160" w:after="40"/>
      </w:pPr>
      <w:r>
        <w:rPr>
          <w:rFonts w:ascii="Arial" w:hAnsi="Arial"/>
          <w:b/>
          <w:color w:val="0A1F3F"/>
          <w:sz w:val="20"/>
        </w:rPr>
        <w:t>Q1: Does your organization hold or pursue contracts with the U.S. Department of Defense (DoD)?</w:t>
      </w:r>
    </w:p>
    <w:p>
      <w:pPr>
        <w:spacing w:before="20" w:after="40"/>
        <w:ind w:left="576"/>
      </w:pPr>
      <w:r>
        <w:rPr>
          <w:rFonts w:ascii="Arial" w:hAnsi="Arial"/>
          <w:b/>
          <w:color w:val="2E7D32"/>
          <w:sz w:val="20"/>
        </w:rPr>
        <w:t xml:space="preserve">YES → </w:t>
      </w:r>
      <w:r>
        <w:rPr>
          <w:rFonts w:ascii="Arial" w:hAnsi="Arial"/>
          <w:color w:val="333333"/>
          <w:sz w:val="20"/>
        </w:rPr>
        <w:t>Continue to Q2.</w:t>
      </w:r>
    </w:p>
    <w:p>
      <w:pPr>
        <w:spacing w:before="20" w:after="40"/>
        <w:ind w:left="576"/>
      </w:pPr>
      <w:r>
        <w:rPr>
          <w:rFonts w:ascii="Arial" w:hAnsi="Arial"/>
          <w:b/>
          <w:color w:val="CC3333"/>
          <w:sz w:val="20"/>
        </w:rPr>
        <w:t xml:space="preserve">NO → </w:t>
      </w:r>
      <w:r>
        <w:rPr>
          <w:rFonts w:ascii="Arial" w:hAnsi="Arial"/>
          <w:color w:val="333333"/>
          <w:sz w:val="20"/>
        </w:rPr>
        <w:t>CMMC does not currently apply to your organization. Monitor for expansion to other federal agencies.</w:t>
      </w:r>
    </w:p>
    <w:p>
      <w:pPr>
        <w:spacing w:before="160" w:after="40"/>
      </w:pPr>
      <w:r>
        <w:rPr>
          <w:rFonts w:ascii="Arial" w:hAnsi="Arial"/>
          <w:b/>
          <w:color w:val="0A1F3F"/>
          <w:sz w:val="20"/>
        </w:rPr>
        <w:t>Q2: Does your contract involve Federal Contract Information (FCI)?</w:t>
      </w:r>
    </w:p>
    <w:p>
      <w:pPr>
        <w:spacing w:before="20" w:after="40"/>
        <w:ind w:left="576"/>
      </w:pPr>
      <w:r>
        <w:rPr>
          <w:rFonts w:ascii="Arial" w:hAnsi="Arial"/>
          <w:b/>
          <w:color w:val="2E7D32"/>
          <w:sz w:val="20"/>
        </w:rPr>
        <w:t xml:space="preserve">YES → </w:t>
      </w:r>
      <w:r>
        <w:rPr>
          <w:rFonts w:ascii="Arial" w:hAnsi="Arial"/>
          <w:color w:val="333333"/>
          <w:sz w:val="20"/>
        </w:rPr>
        <w:t>Continue to Q3.</w:t>
      </w:r>
    </w:p>
    <w:p>
      <w:pPr>
        <w:spacing w:before="20" w:after="40"/>
        <w:ind w:left="576"/>
      </w:pPr>
      <w:r>
        <w:rPr>
          <w:rFonts w:ascii="Arial" w:hAnsi="Arial"/>
          <w:b/>
          <w:color w:val="CC3333"/>
          <w:sz w:val="20"/>
        </w:rPr>
        <w:t xml:space="preserve">NO → </w:t>
      </w:r>
      <w:r>
        <w:rPr>
          <w:rFonts w:ascii="Arial" w:hAnsi="Arial"/>
          <w:color w:val="333333"/>
          <w:sz w:val="20"/>
        </w:rPr>
        <w:t>If no FCI or CUI is involved, CMMC likely does not apply. Verify with your contracting officer.</w:t>
      </w:r>
    </w:p>
    <w:p>
      <w:pPr>
        <w:spacing w:before="160" w:after="40"/>
      </w:pPr>
      <w:r>
        <w:rPr>
          <w:rFonts w:ascii="Arial" w:hAnsi="Arial"/>
          <w:b/>
          <w:color w:val="0A1F3F"/>
          <w:sz w:val="20"/>
        </w:rPr>
        <w:t>Q3: Does your contract involve Controlled Unclassified Information (CUI)?</w:t>
      </w:r>
    </w:p>
    <w:p>
      <w:pPr>
        <w:spacing w:before="20" w:after="40"/>
        <w:ind w:left="576"/>
      </w:pPr>
      <w:r>
        <w:rPr>
          <w:rFonts w:ascii="Arial" w:hAnsi="Arial"/>
          <w:b/>
          <w:color w:val="2E7D32"/>
          <w:sz w:val="20"/>
        </w:rPr>
        <w:t xml:space="preserve">YES → </w:t>
      </w:r>
      <w:r>
        <w:rPr>
          <w:rFonts w:ascii="Arial" w:hAnsi="Arial"/>
          <w:color w:val="333333"/>
          <w:sz w:val="20"/>
        </w:rPr>
        <w:t>Continue to Q4.</w:t>
      </w:r>
    </w:p>
    <w:p>
      <w:pPr>
        <w:spacing w:before="20" w:after="40"/>
        <w:ind w:left="576"/>
      </w:pPr>
      <w:r>
        <w:rPr>
          <w:rFonts w:ascii="Arial" w:hAnsi="Arial"/>
          <w:b/>
          <w:color w:val="CC3333"/>
          <w:sz w:val="20"/>
        </w:rPr>
        <w:t xml:space="preserve">NO → </w:t>
      </w:r>
      <w:r>
        <w:rPr>
          <w:rFonts w:ascii="Arial" w:hAnsi="Arial"/>
          <w:color w:val="333333"/>
          <w:sz w:val="20"/>
        </w:rPr>
        <w:t>You need CMMC Level 1. Implement 17 practices per FAR 52.204-21.</w:t>
      </w:r>
    </w:p>
    <w:p>
      <w:pPr>
        <w:spacing w:before="160" w:after="40"/>
      </w:pPr>
      <w:r>
        <w:rPr>
          <w:rFonts w:ascii="Arial" w:hAnsi="Arial"/>
          <w:b/>
          <w:color w:val="0A1F3F"/>
          <w:sz w:val="20"/>
        </w:rPr>
        <w:t>Q4: Does your contract require a third-party assessment (C3PAO)?</w:t>
      </w:r>
    </w:p>
    <w:p>
      <w:pPr>
        <w:spacing w:before="20" w:after="40"/>
        <w:ind w:left="576"/>
      </w:pPr>
      <w:r>
        <w:rPr>
          <w:rFonts w:ascii="Arial" w:hAnsi="Arial"/>
          <w:b/>
          <w:color w:val="2E7D32"/>
          <w:sz w:val="20"/>
        </w:rPr>
        <w:t xml:space="preserve">YES → </w:t>
      </w:r>
      <w:r>
        <w:rPr>
          <w:rFonts w:ascii="Arial" w:hAnsi="Arial"/>
          <w:color w:val="333333"/>
          <w:sz w:val="20"/>
        </w:rPr>
        <w:t>You need CMMC Level 2 with C3PAO Assessment. Implement all 110 NIST SP 800-171 practices.</w:t>
      </w:r>
    </w:p>
    <w:p>
      <w:pPr>
        <w:spacing w:before="20" w:after="40"/>
        <w:ind w:left="576"/>
      </w:pPr>
      <w:r>
        <w:rPr>
          <w:rFonts w:ascii="Arial" w:hAnsi="Arial"/>
          <w:b/>
          <w:color w:val="CC3333"/>
          <w:sz w:val="20"/>
        </w:rPr>
        <w:t xml:space="preserve">NO → </w:t>
      </w:r>
      <w:r>
        <w:rPr>
          <w:rFonts w:ascii="Arial" w:hAnsi="Arial"/>
          <w:color w:val="333333"/>
          <w:sz w:val="20"/>
        </w:rPr>
        <w:t>You need CMMC Level 2 with Self-Assessment. Implement all 110 NIST SP 800-171 practices and submit SPRS score.</w:t>
      </w:r>
    </w:p>
    <w:p>
      <w:pPr>
        <w:spacing w:before="160" w:after="40"/>
      </w:pPr>
      <w:r>
        <w:rPr>
          <w:rFonts w:ascii="Arial" w:hAnsi="Arial"/>
          <w:b/>
          <w:color w:val="0A1F3F"/>
          <w:sz w:val="20"/>
        </w:rPr>
        <w:t>Q5: Are you a subcontractor receiving CUI flow-down?</w:t>
      </w:r>
    </w:p>
    <w:p>
      <w:pPr>
        <w:spacing w:before="20" w:after="40"/>
        <w:ind w:left="576"/>
      </w:pPr>
      <w:r>
        <w:rPr>
          <w:rFonts w:ascii="Arial" w:hAnsi="Arial"/>
          <w:b/>
          <w:color w:val="2E7D32"/>
          <w:sz w:val="20"/>
        </w:rPr>
        <w:t xml:space="preserve">YES → </w:t>
      </w:r>
      <w:r>
        <w:rPr>
          <w:rFonts w:ascii="Arial" w:hAnsi="Arial"/>
          <w:color w:val="333333"/>
          <w:sz w:val="20"/>
        </w:rPr>
        <w:t>Same CMMC level requirements apply. Your prime contractor's obligations flow down to you.</w:t>
      </w:r>
    </w:p>
    <w:p>
      <w:pPr>
        <w:spacing w:before="20" w:after="40"/>
        <w:ind w:left="576"/>
      </w:pPr>
      <w:r>
        <w:rPr>
          <w:rFonts w:ascii="Arial" w:hAnsi="Arial"/>
          <w:b/>
          <w:color w:val="CC3333"/>
          <w:sz w:val="20"/>
        </w:rPr>
        <w:t xml:space="preserve">NO → </w:t>
      </w:r>
      <w:r>
        <w:rPr>
          <w:rFonts w:ascii="Arial" w:hAnsi="Arial"/>
          <w:color w:val="333333"/>
          <w:sz w:val="20"/>
        </w:rPr>
        <w:t>Confirm with your prime contractor whether data you handle constitutes FCI or CUI.</w:t>
      </w:r>
    </w:p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SUMMARY TABLE</w:t>
      </w:r>
    </w:p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2520"/>
        <w:gridCol w:w="2520"/>
        <w:gridCol w:w="2520"/>
        <w:gridCol w:w="2520"/>
      </w:tblGrid>
      <w:tr>
        <w:tc>
          <w:tcPr>
            <w:tcW w:type="dxa" w:w="2592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SCENARIO</w:t>
            </w:r>
          </w:p>
        </w:tc>
        <w:tc>
          <w:tcPr>
            <w:tcW w:type="dxa" w:w="1728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CMMC LEVEL</w:t>
            </w:r>
          </w:p>
        </w:tc>
        <w:tc>
          <w:tcPr>
            <w:tcW w:type="dxa" w:w="216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ASSESSMENT TYPE</w:t>
            </w:r>
          </w:p>
        </w:tc>
        <w:tc>
          <w:tcPr>
            <w:tcW w:type="dxa" w:w="3600"/>
            <w:shd w:fill="0A1F3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120" w:after="120"/>
              <w:jc w:val="center"/>
            </w:pPr>
            <w:r>
              <w:rPr>
                <w:rFonts w:ascii="Arial" w:hAnsi="Arial"/>
                <w:b/>
                <w:color w:val="FFFFFF"/>
                <w:sz w:val="18"/>
              </w:rPr>
              <w:t>KEY REQUIREMENT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FCI only, no CUI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Level 1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Self-Assessment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17 practices (FAR 52.204-21)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CUI — standard contract</w:t>
            </w:r>
          </w:p>
        </w:tc>
        <w:tc>
          <w:tcPr>
            <w:tcW w:type="dxa" w:w="17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Level 2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Self-Assessment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110 practices (NIST 800-171)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CUI — critical programs</w:t>
            </w:r>
          </w:p>
        </w:tc>
        <w:tc>
          <w:tcPr>
            <w:tcW w:type="dxa" w:w="1728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Level 2</w:t>
            </w:r>
          </w:p>
        </w:tc>
        <w:tc>
          <w:tcPr>
            <w:tcW w:type="dxa" w:w="216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C3PAO Assessment</w:t>
            </w:r>
          </w:p>
        </w:tc>
        <w:tc>
          <w:tcPr>
            <w:tcW w:type="dxa" w:w="3600"/>
            <w:shd w:fill="FFF8E7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110 practices + third-party audit</w:t>
            </w:r>
          </w:p>
        </w:tc>
      </w:tr>
      <w:tr>
        <w:tc>
          <w:tcPr>
            <w:tcW w:type="dxa" w:w="2592"/>
            <w:shd w:fill="E8EDF2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b/>
                <w:color w:val="0A1F3F"/>
                <w:sz w:val="18"/>
              </w:rPr>
              <w:t>Subcontractor with CUI</w:t>
            </w:r>
          </w:p>
        </w:tc>
        <w:tc>
          <w:tcPr>
            <w:tcW w:type="dxa" w:w="1728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Same as prime</w:t>
            </w:r>
          </w:p>
        </w:tc>
        <w:tc>
          <w:tcPr>
            <w:tcW w:type="dxa" w:w="216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Per contract flow-down</w:t>
            </w:r>
          </w:p>
        </w:tc>
        <w:tc>
          <w:tcPr>
            <w:tcW w:type="dxa" w:w="3600"/>
            <w:shd w:fill="FFFFFF" w:val="clear"/>
            <w:tcBorders>
              <w:top w:val="single" w:sz="4" w:space="0" w:color="CCCCCC"/>
              <w:bottom w:val="single" w:sz="4" w:space="0" w:color="CCCCCC"/>
              <w:left w:val="single" w:sz="4" w:space="0" w:color="CCCCCC"/>
              <w:right w:val="single" w:sz="4" w:space="0" w:color="CCCCCC"/>
            </w:tcBorders>
          </w:tcPr>
          <w:p>
            <w:pPr>
              <w:spacing w:before="80" w:after="80"/>
            </w:pPr>
            <w:r>
              <w:rPr>
                <w:rFonts w:ascii="Arial" w:hAnsi="Arial"/>
                <w:color w:val="333333"/>
                <w:sz w:val="18"/>
              </w:rPr>
              <w:t>Must meet same level as prime</w:t>
            </w:r>
          </w:p>
        </w:tc>
      </w:tr>
    </w:tbl>
    <w:p>
      <w:pPr>
        <w:spacing w:before="280" w:after="120"/>
      </w:pPr>
      <w:r>
        <w:rPr>
          <w:rFonts w:ascii="Arial" w:hAnsi="Arial"/>
          <w:b/>
          <w:color w:val="0A1F3F"/>
          <w:sz w:val="24"/>
        </w:rPr>
        <w:t>NEXT STEPS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Identify all current and prospective DoD contracts.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Review contract clauses for DFARS 252.204-7012 and FAR 52.204-21.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Classify data types handled (FCI, CUI, or both).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Determine required CMMC level using this flowchart.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Begin implementing the appropriate control set.</w:t>
      </w:r>
    </w:p>
    <w:p>
      <w:pPr>
        <w:spacing w:before="40" w:after="40"/>
        <w:ind w:left="360"/>
      </w:pPr>
      <w:r>
        <w:rPr>
          <w:rFonts w:ascii="Arial" w:hAnsi="Arial"/>
          <w:color w:val="C8962E"/>
          <w:sz w:val="24"/>
        </w:rPr>
        <w:t xml:space="preserve">☐  </w:t>
      </w:r>
      <w:r>
        <w:rPr>
          <w:rFonts w:ascii="Arial" w:hAnsi="Arial"/>
          <w:color w:val="333333"/>
          <w:sz w:val="19"/>
        </w:rPr>
        <w:t>Schedule your assessment timeline based on contract deadlines.</w:t>
      </w:r>
    </w:p>
    <w:p>
      <w:pPr>
        <w:spacing w:before="40" w:after="40"/>
        <w:pBdr>
          <w:bottom w:val="single" w:sz="12" w:space="1" w:color="C8962E"/>
        </w:pBdr>
      </w:pPr>
    </w:p>
    <w:p>
      <w:pPr>
        <w:spacing w:before="200" w:after="40"/>
        <w:jc w:val="center"/>
      </w:pPr>
      <w:r>
        <w:rPr>
          <w:rFonts w:ascii="Arial" w:hAnsi="Arial"/>
          <w:color w:val="999999"/>
          <w:sz w:val="16"/>
        </w:rPr>
        <w:t>CMMC Training Program — Course 1</w:t>
      </w:r>
    </w:p>
    <w:p>
      <w:pPr>
        <w:spacing w:before="40" w:after="40"/>
        <w:jc w:val="center"/>
      </w:pPr>
      <w:r>
        <w:rPr>
          <w:rFonts w:ascii="Arial" w:hAnsi="Arial"/>
          <w:color w:val="666666"/>
          <w:sz w:val="18"/>
        </w:rPr>
        <w:t>For more resources, templates, and compliance guidance visit:</w:t>
      </w:r>
    </w:p>
    <w:p>
      <w:pPr>
        <w:spacing w:before="40" w:after="0"/>
        <w:jc w:val="center"/>
      </w:pPr>
      <w:r>
        <w:rPr>
          <w:rFonts w:ascii="Arial" w:hAnsi="Arial"/>
          <w:b/>
          <w:color w:val="C8962E"/>
          <w:sz w:val="22"/>
          <w:u w:val="single"/>
        </w:rPr>
        <w:t>www.easycompliances.net</w:t>
      </w:r>
    </w:p>
    <w:p>
      <w:pPr>
        <w:spacing w:before="120" w:after="0"/>
        <w:jc w:val="center"/>
      </w:pPr>
      <w:r>
        <w:rPr>
          <w:rFonts w:ascii="Arial" w:hAnsi="Arial"/>
          <w:color w:val="BBBBBB"/>
          <w:sz w:val="14"/>
        </w:rPr>
        <w:t>© 2026 Easy Compliances. All Rights Reserved.</w:t>
      </w:r>
    </w:p>
    <w:sectPr w:rsidR="00FC693F" w:rsidRPr="0006063C" w:rsidSect="00034616"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/>
      <w:color w:val="333333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