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FCI vs CUI</w:t>
      </w:r>
    </w:p>
    <w:p>
      <w:pPr>
        <w:spacing w:before="0" w:after="80"/>
        <w:jc w:val="center"/>
      </w:pPr>
      <w:r>
        <w:rPr>
          <w:rFonts w:ascii="Arial" w:hAnsi="Arial"/>
          <w:color w:val="1A3A5C"/>
          <w:sz w:val="32"/>
        </w:rPr>
        <w:t>Quick Reference Guide</w:t>
      </w:r>
    </w:p>
    <w:p>
      <w:pPr>
        <w:spacing w:before="0" w:after="120"/>
        <w:jc w:val="center"/>
      </w:pPr>
      <w:r>
        <w:rPr>
          <w:rFonts w:ascii="Arial" w:hAnsi="Arial"/>
          <w:color w:val="999999"/>
          <w:sz w:val="18"/>
        </w:rPr>
        <w:t>Lesson 2.4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Use this quick reference guide to distinguish between Federal Contract Information (FCI) and Controlled Unclassified Information (CUI) in your daily operations. Print it and keep it accessible for your compliance team, or distribute it during onboarding to help staff identify what type of information they handle. Understanding the difference between FCI and CUI is critical because it determines which CMMC level your organization must achieve — Level 1 for FCI-only environments, or Level 2 for CUI environments. Misclassification can lead to compliance gaps, failed assessments, or loss of contract eligibility.</w:t>
      </w:r>
    </w:p>
    <w:p>
      <w:pPr>
        <w:spacing w:before="280" w:after="120"/>
      </w:pPr>
      <w:r>
        <w:rPr>
          <w:rFonts w:ascii="Arial" w:hAnsi="Arial"/>
          <w:b/>
          <w:color w:val="0A1F3F"/>
          <w:sz w:val="24"/>
        </w:rPr>
        <w:t>SIDE-BY-SIDE COMPARISON</w:t>
      </w:r>
    </w:p>
    <w:tbl>
      <w:tblPr>
        <w:tblW w:type="auto" w:w="0"/>
        <w:jc w:val="center"/>
        <w:tblLayout w:type="autofit"/>
        <w:tblLook w:firstColumn="1" w:firstRow="1" w:lastColumn="0" w:lastRow="0" w:noHBand="0" w:noVBand="1" w:val="04A0"/>
      </w:tblPr>
      <w:tblGrid>
        <w:gridCol w:w="3360"/>
        <w:gridCol w:w="3360"/>
        <w:gridCol w:w="3360"/>
      </w:tblGrid>
      <w:tr>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CRITERIA</w:t>
            </w:r>
          </w:p>
        </w:tc>
        <w:tc>
          <w:tcPr>
            <w:tcW w:type="dxa" w:w="39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FCI</w:t>
            </w:r>
          </w:p>
        </w:tc>
        <w:tc>
          <w:tcPr>
            <w:tcW w:type="dxa" w:w="39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CUI</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Definition</w:t>
            </w:r>
          </w:p>
        </w:tc>
        <w:tc>
          <w:tcPr>
            <w:tcW w:type="dxa" w:w="39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Information not intended for public release, provided by or generated for the government under a contract.</w:t>
            </w:r>
          </w:p>
        </w:tc>
        <w:tc>
          <w:tcPr>
            <w:tcW w:type="dxa" w:w="39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Information the government creates or possesses that requires safeguarding or dissemination controls per law, regulation, or government-wide policy.</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Legal Basis</w:t>
            </w:r>
          </w:p>
        </w:tc>
        <w:tc>
          <w:tcPr>
            <w:tcW w:type="dxa" w:w="39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Defined in FAR 52.204-21.</w:t>
            </w:r>
          </w:p>
        </w:tc>
        <w:tc>
          <w:tcPr>
            <w:tcW w:type="dxa" w:w="39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Defined by Executive Order 13556 and governed by 32 CFR Part 2002; NIST SP 800-171 provides security requirements.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Marking</w:t>
            </w:r>
          </w:p>
        </w:tc>
        <w:tc>
          <w:tcPr>
            <w:tcW w:type="dxa" w:w="39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Generally not marked. Identified by context — any non-public info related to a federal contract.</w:t>
            </w:r>
          </w:p>
        </w:tc>
        <w:tc>
          <w:tcPr>
            <w:tcW w:type="dxa" w:w="39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Must be marked with CUI banners, category indicators, and handling instructions per the CUI Registry.</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Examples</w:t>
            </w:r>
          </w:p>
        </w:tc>
        <w:tc>
          <w:tcPr>
            <w:tcW w:type="dxa" w:w="39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Contract performance reports, invoices, delivery schedules, internal emails about contract work, project plans.</w:t>
            </w:r>
          </w:p>
        </w:tc>
        <w:tc>
          <w:tcPr>
            <w:tcW w:type="dxa" w:w="39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Technical drawings, engineering data, export-controlled information, PII, law enforcement sensitive data, critical infrastructure data.</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CMMC Level Required</w:t>
            </w:r>
          </w:p>
        </w:tc>
        <w:tc>
          <w:tcPr>
            <w:tcW w:type="dxa" w:w="39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1 (17 practices based on FAR 52.204-21).</w:t>
            </w:r>
          </w:p>
        </w:tc>
        <w:tc>
          <w:tcPr>
            <w:tcW w:type="dxa" w:w="39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Level 2 (110 practices aligned with NIST SP 800-171 Rev 2).</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Assessment Type</w:t>
            </w:r>
          </w:p>
        </w:tc>
        <w:tc>
          <w:tcPr>
            <w:tcW w:type="dxa" w:w="39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Annual self-assessment with affirmation.</w:t>
            </w:r>
          </w:p>
        </w:tc>
        <w:tc>
          <w:tcPr>
            <w:tcW w:type="dxa" w:w="39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Self-assessment or C3PAO third-party assessment depending on contract requirements.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SPRS Score Reporting</w:t>
            </w:r>
          </w:p>
        </w:tc>
        <w:tc>
          <w:tcPr>
            <w:tcW w:type="dxa" w:w="39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Not scored in SPRS (pass/fail compliance).</w:t>
            </w:r>
          </w:p>
        </w:tc>
        <w:tc>
          <w:tcPr>
            <w:tcW w:type="dxa" w:w="39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Requires SPRS score between -203 and 110.</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Storage &amp; Transmission</w:t>
            </w:r>
          </w:p>
        </w:tc>
        <w:tc>
          <w:tcPr>
            <w:tcW w:type="dxa" w:w="39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Must be protected from unauthorized public disclosure. Basic safeguarding.</w:t>
            </w:r>
          </w:p>
        </w:tc>
        <w:tc>
          <w:tcPr>
            <w:tcW w:type="dxa" w:w="39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Must be encrypted at rest and in transit per NIST SP 800-171 requirements (e.g., FIPS-validated cryptography).</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Access Control</w:t>
            </w:r>
          </w:p>
        </w:tc>
        <w:tc>
          <w:tcPr>
            <w:tcW w:type="dxa" w:w="39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Limit access to authorized users only.</w:t>
            </w:r>
          </w:p>
        </w:tc>
        <w:tc>
          <w:tcPr>
            <w:tcW w:type="dxa" w:w="39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Implement role-based access control, multi-factor authentication, audit logging, and principle of least privilege.</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Incident Reporting</w:t>
            </w:r>
          </w:p>
        </w:tc>
        <w:tc>
          <w:tcPr>
            <w:tcW w:type="dxa" w:w="39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Follows basic contract terms.</w:t>
            </w:r>
          </w:p>
        </w:tc>
        <w:tc>
          <w:tcPr>
            <w:tcW w:type="dxa" w:w="39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Must report cyber incidents to DIBNet within 72 hours per DFARS 252.204-7012.</w:t>
            </w:r>
          </w:p>
        </w:tc>
      </w:tr>
    </w:tbl>
    <w:p>
      <w:pPr>
        <w:spacing w:before="280" w:after="120"/>
      </w:pPr>
      <w:r>
        <w:rPr>
          <w:rFonts w:ascii="Arial" w:hAnsi="Arial"/>
          <w:b/>
          <w:color w:val="0A1F3F"/>
          <w:sz w:val="24"/>
        </w:rPr>
        <w:t>KEY DECISION RULE</w:t>
      </w:r>
    </w:p>
    <w:tbl>
      <w:tblPr>
        <w:tblW w:type="auto" w:w="0"/>
        <w:jc w:val="center"/>
        <w:tblLook w:firstColumn="1" w:firstRow="1" w:lastColumn="0" w:lastRow="0" w:noHBand="0" w:noVBand="1" w:val="04A0"/>
      </w:tblPr>
      <w:tblGrid>
        <w:gridCol w:w="10080"/>
      </w:tblGrid>
      <w:tr>
        <w:tc>
          <w:tcPr>
            <w:tcW w:type="dxa" w:w="10080"/>
            <w:shd w:fill="FFF8E7" w:val="clear"/>
            <w:tcBorders>
              <w:top w:val="single" w:sz="8" w:space="0" w:color="C8962E"/>
              <w:bottom w:val="single" w:sz="8" w:space="0" w:color="C8962E"/>
              <w:left w:val="single" w:sz="8" w:space="0" w:color="C8962E"/>
              <w:right w:val="single" w:sz="8" w:space="0" w:color="C8962E"/>
            </w:tcBorders>
          </w:tcPr>
          <w:p>
            <w:pPr>
              <w:spacing w:before="120" w:after="120"/>
              <w:jc w:val="center"/>
            </w:pPr>
            <w:r>
              <w:rPr>
                <w:rFonts w:ascii="Arial" w:hAnsi="Arial"/>
                <w:b/>
                <w:color w:val="0A1F3F"/>
                <w:sz w:val="20"/>
              </w:rPr>
              <w:t>If your contract involves CUI — even a single data element — you must comply with CMMC Level 2.</w:t>
            </w:r>
          </w:p>
          <w:p>
            <w:pPr>
              <w:spacing w:before="120" w:after="120"/>
              <w:jc w:val="center"/>
            </w:pPr>
            <w:r>
              <w:rPr>
                <w:rFonts w:ascii="Arial" w:hAnsi="Arial"/>
                <w:b w:val="0"/>
                <w:color w:val="444444"/>
                <w:sz w:val="20"/>
              </w:rPr>
              <w:t>FCI-only contracts require Level 1. When in doubt, treat data as CUI and protect accordingly.</w:t>
            </w:r>
          </w:p>
        </w:tc>
      </w:tr>
    </w:tbl>
    <w:p>
      <w:pPr>
        <w:spacing w:before="280" w:after="120"/>
      </w:pPr>
      <w:r>
        <w:rPr>
          <w:rFonts w:ascii="Arial" w:hAnsi="Arial"/>
          <w:b/>
          <w:color w:val="0A1F3F"/>
          <w:sz w:val="24"/>
        </w:rPr>
        <w:t>COMMON MISTAKES TO AVOID</w:t>
      </w:r>
    </w:p>
    <w:p>
      <w:pPr>
        <w:spacing w:before="80" w:after="20"/>
        <w:ind w:left="360"/>
      </w:pPr>
      <w:r>
        <w:rPr>
          <w:rFonts w:ascii="Arial" w:hAnsi="Arial"/>
          <w:b/>
          <w:color w:val="CC3333"/>
          <w:sz w:val="20"/>
        </w:rPr>
        <w:t>1. Assuming all contract data is just FCI</w:t>
      </w:r>
    </w:p>
    <w:p>
      <w:pPr>
        <w:spacing w:before="0" w:after="80"/>
        <w:ind w:left="720"/>
      </w:pPr>
      <w:r>
        <w:rPr>
          <w:rFonts w:ascii="Arial" w:hAnsi="Arial"/>
          <w:color w:val="444444"/>
          <w:sz w:val="18"/>
        </w:rPr>
        <w:t>Review your contracts for DFARS 252.204-7012 clauses and CUI markings. If present, CUI requirements apply.</w:t>
      </w:r>
    </w:p>
    <w:p>
      <w:pPr>
        <w:spacing w:before="80" w:after="20"/>
        <w:ind w:left="360"/>
      </w:pPr>
      <w:r>
        <w:rPr>
          <w:rFonts w:ascii="Arial" w:hAnsi="Arial"/>
          <w:b/>
          <w:color w:val="CC3333"/>
          <w:sz w:val="20"/>
        </w:rPr>
        <w:t>2. Ignoring unmarked CUI</w:t>
      </w:r>
    </w:p>
    <w:p>
      <w:pPr>
        <w:spacing w:before="0" w:after="80"/>
        <w:ind w:left="720"/>
      </w:pPr>
      <w:r>
        <w:rPr>
          <w:rFonts w:ascii="Arial" w:hAnsi="Arial"/>
          <w:color w:val="444444"/>
          <w:sz w:val="18"/>
        </w:rPr>
        <w:t>Not all CUI arrives pre-marked. If data fits a CUI category (per the CUI Registry), treat it as CUI regardless of markings.</w:t>
      </w:r>
    </w:p>
    <w:p>
      <w:pPr>
        <w:spacing w:before="80" w:after="20"/>
        <w:ind w:left="360"/>
      </w:pPr>
      <w:r>
        <w:rPr>
          <w:rFonts w:ascii="Arial" w:hAnsi="Arial"/>
          <w:b/>
          <w:color w:val="CC3333"/>
          <w:sz w:val="20"/>
        </w:rPr>
        <w:t>3. Applying Level 2 controls to FCI-only environments</w:t>
      </w:r>
    </w:p>
    <w:p>
      <w:pPr>
        <w:spacing w:before="0" w:after="80"/>
        <w:ind w:left="720"/>
      </w:pPr>
      <w:r>
        <w:rPr>
          <w:rFonts w:ascii="Arial" w:hAnsi="Arial"/>
          <w:color w:val="444444"/>
          <w:sz w:val="18"/>
        </w:rPr>
        <w:t>Over-compliance wastes resources. If you only handle FCI, Level 1 is sufficient. Confirm with your contracting officer.</w:t>
      </w:r>
    </w:p>
    <w:p>
      <w:pPr>
        <w:spacing w:before="80" w:after="20"/>
        <w:ind w:left="360"/>
      </w:pPr>
      <w:r>
        <w:rPr>
          <w:rFonts w:ascii="Arial" w:hAnsi="Arial"/>
          <w:b/>
          <w:color w:val="CC3333"/>
          <w:sz w:val="20"/>
        </w:rPr>
        <w:t>4. Failing to train staff on the difference</w:t>
      </w:r>
    </w:p>
    <w:p>
      <w:pPr>
        <w:spacing w:before="0" w:after="80"/>
        <w:ind w:left="720"/>
      </w:pPr>
      <w:r>
        <w:rPr>
          <w:rFonts w:ascii="Arial" w:hAnsi="Arial"/>
          <w:color w:val="444444"/>
          <w:sz w:val="18"/>
        </w:rPr>
        <w:t>If employees cannot distinguish FCI from CUI, mishandling is inevitable. Regular training is essential.</w:t>
      </w:r>
    </w:p>
    <w:p>
      <w:pPr>
        <w:spacing w:before="80" w:after="20"/>
        <w:ind w:left="360"/>
      </w:pPr>
      <w:r>
        <w:rPr>
          <w:rFonts w:ascii="Arial" w:hAnsi="Arial"/>
          <w:b/>
          <w:color w:val="CC3333"/>
          <w:sz w:val="20"/>
        </w:rPr>
        <w:t>5. Not checking subcontractor data flows</w:t>
      </w:r>
    </w:p>
    <w:p>
      <w:pPr>
        <w:spacing w:before="0" w:after="80"/>
        <w:ind w:left="720"/>
      </w:pPr>
      <w:r>
        <w:rPr>
          <w:rFonts w:ascii="Arial" w:hAnsi="Arial"/>
          <w:color w:val="444444"/>
          <w:sz w:val="18"/>
        </w:rPr>
        <w:t>CUI passed to subcontractors makes them subject to CMMC requirements too. Map your data flows and ensure flow-down compliance.</w:t>
      </w:r>
    </w:p>
    <w:p>
      <w:pPr>
        <w:spacing w:before="280" w:after="120"/>
      </w:pPr>
      <w:r>
        <w:rPr>
          <w:rFonts w:ascii="Arial" w:hAnsi="Arial"/>
          <w:b/>
          <w:color w:val="0A1F3F"/>
          <w:sz w:val="24"/>
        </w:rPr>
        <w:t>QUICK SELF-CHECK</w:t>
      </w:r>
    </w:p>
    <w:p>
      <w:pPr>
        <w:spacing w:before="40" w:after="40"/>
        <w:ind w:left="360"/>
      </w:pPr>
      <w:r>
        <w:rPr>
          <w:rFonts w:ascii="Arial" w:hAnsi="Arial"/>
          <w:color w:val="C8962E"/>
          <w:sz w:val="24"/>
        </w:rPr>
        <w:t xml:space="preserve">☐  </w:t>
      </w:r>
      <w:r>
        <w:rPr>
          <w:rFonts w:ascii="Arial" w:hAnsi="Arial"/>
          <w:color w:val="333333"/>
          <w:sz w:val="19"/>
        </w:rPr>
        <w:t>I can identify whether my contracts reference DFARS 252.204-7012.</w:t>
      </w:r>
    </w:p>
    <w:p>
      <w:pPr>
        <w:spacing w:before="40" w:after="40"/>
        <w:ind w:left="360"/>
      </w:pPr>
      <w:r>
        <w:rPr>
          <w:rFonts w:ascii="Arial" w:hAnsi="Arial"/>
          <w:color w:val="C8962E"/>
          <w:sz w:val="24"/>
        </w:rPr>
        <w:t xml:space="preserve">☐  </w:t>
      </w:r>
      <w:r>
        <w:rPr>
          <w:rFonts w:ascii="Arial" w:hAnsi="Arial"/>
          <w:color w:val="333333"/>
          <w:sz w:val="19"/>
        </w:rPr>
        <w:t>I know which CUI categories apply to the data my organization handles.</w:t>
      </w:r>
    </w:p>
    <w:p>
      <w:pPr>
        <w:spacing w:before="40" w:after="40"/>
        <w:ind w:left="360"/>
      </w:pPr>
      <w:r>
        <w:rPr>
          <w:rFonts w:ascii="Arial" w:hAnsi="Arial"/>
          <w:color w:val="C8962E"/>
          <w:sz w:val="24"/>
        </w:rPr>
        <w:t xml:space="preserve">☐  </w:t>
      </w:r>
      <w:r>
        <w:rPr>
          <w:rFonts w:ascii="Arial" w:hAnsi="Arial"/>
          <w:color w:val="333333"/>
          <w:sz w:val="19"/>
        </w:rPr>
        <w:t>My team understands the difference between FCI and CUI.</w:t>
      </w:r>
    </w:p>
    <w:p>
      <w:pPr>
        <w:spacing w:before="40" w:after="40"/>
        <w:ind w:left="360"/>
      </w:pPr>
      <w:r>
        <w:rPr>
          <w:rFonts w:ascii="Arial" w:hAnsi="Arial"/>
          <w:color w:val="C8962E"/>
          <w:sz w:val="24"/>
        </w:rPr>
        <w:t xml:space="preserve">☐  </w:t>
      </w:r>
      <w:r>
        <w:rPr>
          <w:rFonts w:ascii="Arial" w:hAnsi="Arial"/>
          <w:color w:val="333333"/>
          <w:sz w:val="19"/>
        </w:rPr>
        <w:t>Our data flows are mapped and CUI boundaries are documented.</w:t>
      </w:r>
    </w:p>
    <w:p>
      <w:pPr>
        <w:spacing w:before="40" w:after="40"/>
        <w:ind w:left="360"/>
      </w:pPr>
      <w:r>
        <w:rPr>
          <w:rFonts w:ascii="Arial" w:hAnsi="Arial"/>
          <w:color w:val="C8962E"/>
          <w:sz w:val="24"/>
        </w:rPr>
        <w:t xml:space="preserve">☐  </w:t>
      </w:r>
      <w:r>
        <w:rPr>
          <w:rFonts w:ascii="Arial" w:hAnsi="Arial"/>
          <w:color w:val="333333"/>
          <w:sz w:val="19"/>
        </w:rPr>
        <w:t>Subcontractors handling CUI are aware of their CMMC obligations.</w:t>
      </w:r>
    </w:p>
    <w:p>
      <w:pPr>
        <w:spacing w:before="40" w:after="40"/>
        <w:ind w:left="360"/>
      </w:pPr>
      <w:r>
        <w:rPr>
          <w:rFonts w:ascii="Arial" w:hAnsi="Arial"/>
          <w:color w:val="C8962E"/>
          <w:sz w:val="24"/>
        </w:rPr>
        <w:t xml:space="preserve">☐  </w:t>
      </w:r>
      <w:r>
        <w:rPr>
          <w:rFonts w:ascii="Arial" w:hAnsi="Arial"/>
          <w:color w:val="333333"/>
          <w:sz w:val="19"/>
        </w:rPr>
        <w:t>We have applied the correct CMMC level controls based on our data type.</w:t>
      </w:r>
    </w:p>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