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Complete CMMC Document Bundle</w:t>
      </w:r>
    </w:p>
    <w:p>
      <w:pPr>
        <w:spacing w:before="0" w:after="80"/>
        <w:jc w:val="center"/>
      </w:pPr>
      <w:r>
        <w:rPr>
          <w:rFonts w:ascii="Arial" w:hAnsi="Arial"/>
          <w:color w:val="1A3A5C"/>
          <w:sz w:val="32"/>
        </w:rPr>
        <w:t>Overview &amp; Pricing Guide</w:t>
      </w:r>
    </w:p>
    <w:p>
      <w:pPr>
        <w:spacing w:before="0" w:after="120"/>
        <w:jc w:val="center"/>
      </w:pPr>
      <w:r>
        <w:rPr>
          <w:rFonts w:ascii="Arial" w:hAnsi="Arial"/>
          <w:color w:val="999999"/>
          <w:sz w:val="18"/>
        </w:rPr>
        <w:t>Lesson 10.3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This guide provides an overview of the complete CMMC compliance document toolkit included in this course. It lists every resource document, its purpose, and when to use it in your compliance journey. Use this as a master reference to navigate the toolkit and ensure you are leveraging all available resources at each phase of your CMMC compliance program.</w:t>
      </w:r>
    </w:p>
    <w:p>
      <w:pPr>
        <w:spacing w:before="280" w:after="120"/>
      </w:pPr>
      <w:r>
        <w:rPr>
          <w:rFonts w:ascii="Arial" w:hAnsi="Arial"/>
          <w:b/>
          <w:color w:val="0A1F3F"/>
          <w:sz w:val="24"/>
        </w:rPr>
        <w:t>WHAT'S INCLUDED IN THE TOOLKIT</w:t>
      </w:r>
    </w:p>
    <w:p>
      <w:pPr>
        <w:spacing w:before="40" w:after="80"/>
      </w:pPr>
      <w:r>
        <w:rPr>
          <w:rFonts w:ascii="Arial" w:hAnsi="Arial"/>
          <w:color w:val="333333"/>
          <w:sz w:val="20"/>
        </w:rPr>
        <w:t>This course provides 27 professional resource documents covering every phase of CMMC compliance — from initial scoping through certification and continuous monitoring. Each document is designed to be used immediately and customized to your organization.</w:t>
      </w:r>
    </w:p>
    <w:p>
      <w:pPr>
        <w:spacing w:before="280" w:after="120"/>
      </w:pPr>
      <w:r>
        <w:rPr>
          <w:rFonts w:ascii="Arial" w:hAnsi="Arial"/>
          <w:b/>
          <w:color w:val="0A1F3F"/>
          <w:sz w:val="24"/>
        </w:rPr>
        <w:t>DOCUMENT INVENTORY</w:t>
      </w:r>
    </w:p>
    <w:tbl>
      <w:tblPr>
        <w:tblW w:type="auto" w:w="0"/>
        <w:jc w:val="center"/>
        <w:tblLayout w:type="autofit"/>
        <w:tblLook w:firstColumn="1" w:firstRow="1" w:lastColumn="0" w:lastRow="0" w:noHBand="0" w:noVBand="1" w:val="04A0"/>
      </w:tblPr>
      <w:tblGrid>
        <w:gridCol w:w="2016"/>
        <w:gridCol w:w="2016"/>
        <w:gridCol w:w="2016"/>
        <w:gridCol w:w="2016"/>
        <w:gridCol w:w="2016"/>
      </w:tblGrid>
      <w:tr>
        <w:tc>
          <w:tcPr>
            <w:tcW w:type="dxa" w:w="43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w:t>
            </w:r>
          </w:p>
        </w:tc>
        <w:tc>
          <w:tcPr>
            <w:tcW w:type="dxa" w:w="864"/>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LESSON</w:t>
            </w:r>
          </w:p>
        </w:tc>
        <w:tc>
          <w:tcPr>
            <w:tcW w:type="dxa" w:w="36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DOCUMENT NAME</w:t>
            </w:r>
          </w:p>
        </w:tc>
        <w:tc>
          <w:tcPr>
            <w:tcW w:type="dxa" w:w="316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PURPOSE</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PHASE</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L2.4</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FCI vs CUI Quick Reference Guide</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Identify data types and required CMMC level</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Discovery</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L2.5</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CMMC Applicability Decision Flowchart</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Determine if CMMC applies and at what level</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Discovery</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L3.4</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Contract Language Review Checklist</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Review contracts for CMMC-triggering clauses</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Discovery</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4</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L4.1</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NIST 800-171 110 Controls Quick Reference</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Reference all 110 controls during assessment</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Assessment</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5</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L5.5</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SPRS Score Submission Guide</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Submit your SPRS score correctly</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Assessment</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6</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L6.1</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SSP Outline &amp; Section Guide</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Structure your System Security Plan</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Documentation</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7</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L6.2</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POA&amp;M Starter Worksheet</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Begin tracking security gaps</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Documentation</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8</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L6.3</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CUI Boundary Identification Worksheet</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Define your CUI assessment boundary</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Scoping</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9</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L6.4</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Organization-Defined Parameters List</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Set org-specific security values</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Documentation</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10</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L7.2</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 — 17 Practices Plain Language Guide</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Understand Level 1 in simple terms</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11</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L7.4</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 SSP Template</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Build your Level 1 SSP</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12</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L7.5</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 Self-Assessment Scoring Worksheet</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Score your Level 1 compliance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13</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L7.6</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 Affirmation Checklist</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Submit Level 1 affirmation</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14</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L8.2</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CUI Data Flow Mapping Template</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Map how CUI moves through your org</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15</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L8.4</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 Self-Assessment Gap Tracker</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Track all 110 controls during assessment</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16</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L8.5</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SPRS Scoring Calculator Worksheet</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Calculate your exact SPRS score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17</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L8.6</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 Priority Matrix Template</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Prioritize which gaps to fix first</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18</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L8.7</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CMMC Policy Document Pack — Sample</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Write your 14 security policies</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19</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L8.8</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Procedure Writing Guide &amp; Template</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Write step-by-step security procedures</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20</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L8.9</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 SSP Template</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Build your full Level 2 SSP</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21</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L8.10</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CMMC-Compliant POA&amp;M Template</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Formal assessment-ready POA&amp;M</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22</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L8.11</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Evidence Collection Guide &amp; Checklist</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Collect and organize assessment evidence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23</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L8.13</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 Affirmation &amp; Submission Checklist</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Submit Level 2 results and affirmation</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24</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L8.15</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Continuous Monitoring Plan Template</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Build your ongoing monitoring program</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Maintenance</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25</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L9.4</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Self-Assessment to C3PAO Readiness Checklist</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Prepare for third-party assessment</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C3PAO Prep</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26</w:t>
            </w:r>
          </w:p>
        </w:tc>
        <w:tc>
          <w:tcPr>
            <w:tcW w:type="dxa" w:w="86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L10.2</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CMMC Compliance Roadmap Planner</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Plan your complete compliance timeline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Planning</w:t>
            </w:r>
          </w:p>
        </w:tc>
      </w:tr>
      <w:tr>
        <w:tc>
          <w:tcPr>
            <w:tcW w:type="dxa" w:w="432"/>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27</w:t>
            </w:r>
          </w:p>
        </w:tc>
        <w:tc>
          <w:tcPr>
            <w:tcW w:type="dxa" w:w="86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L10.3</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Document Bundle Overview &amp; Pricing Guide</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Navigate the full toolkit</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Reference</w:t>
            </w:r>
          </w:p>
        </w:tc>
      </w:tr>
    </w:tbl>
    <w:p>
      <w:pPr>
        <w:spacing w:before="280" w:after="120"/>
      </w:pPr>
      <w:r>
        <w:rPr>
          <w:rFonts w:ascii="Arial" w:hAnsi="Arial"/>
          <w:b/>
          <w:color w:val="0A1F3F"/>
          <w:sz w:val="24"/>
        </w:rPr>
        <w:t>USAGE BY COMPLIANCE PHASE</w:t>
      </w:r>
    </w:p>
    <w:p>
      <w:pPr>
        <w:spacing w:before="120" w:after="20"/>
      </w:pPr>
      <w:r>
        <w:rPr>
          <w:rFonts w:ascii="Arial" w:hAnsi="Arial"/>
          <w:b/>
          <w:color w:val="0A1F3F"/>
          <w:sz w:val="20"/>
        </w:rPr>
        <w:t>Phase 1: Discovery &amp; Scoping</w:t>
      </w:r>
    </w:p>
    <w:p>
      <w:pPr>
        <w:spacing w:before="0" w:after="80"/>
        <w:ind w:left="432"/>
      </w:pPr>
      <w:r>
        <w:rPr>
          <w:rFonts w:ascii="Arial" w:hAnsi="Arial"/>
          <w:color w:val="444444"/>
          <w:sz w:val="18"/>
        </w:rPr>
        <w:t>Documents #1-3, #8: Determine CMMC applicability, review contracts, identify data types, and define your CUI boundary.</w:t>
      </w:r>
    </w:p>
    <w:p>
      <w:pPr>
        <w:spacing w:before="120" w:after="20"/>
      </w:pPr>
      <w:r>
        <w:rPr>
          <w:rFonts w:ascii="Arial" w:hAnsi="Arial"/>
          <w:b/>
          <w:color w:val="0A1F3F"/>
          <w:sz w:val="20"/>
        </w:rPr>
        <w:t>Phase 2: Gap Assessment</w:t>
      </w:r>
    </w:p>
    <w:p>
      <w:pPr>
        <w:spacing w:before="0" w:after="80"/>
        <w:ind w:left="432"/>
      </w:pPr>
      <w:r>
        <w:rPr>
          <w:rFonts w:ascii="Arial" w:hAnsi="Arial"/>
          <w:color w:val="444444"/>
          <w:sz w:val="18"/>
        </w:rPr>
        <w:t>Documents #4, #15-16: Reference the 110 controls, conduct your assessment, and calculate your SPRS score.</w:t>
      </w:r>
    </w:p>
    <w:p>
      <w:pPr>
        <w:spacing w:before="120" w:after="20"/>
      </w:pPr>
      <w:r>
        <w:rPr>
          <w:rFonts w:ascii="Arial" w:hAnsi="Arial"/>
          <w:b/>
          <w:color w:val="0A1F3F"/>
          <w:sz w:val="20"/>
        </w:rPr>
        <w:t>Phase 3: Remediation</w:t>
      </w:r>
    </w:p>
    <w:p>
      <w:pPr>
        <w:spacing w:before="0" w:after="80"/>
        <w:ind w:left="432"/>
      </w:pPr>
      <w:r>
        <w:rPr>
          <w:rFonts w:ascii="Arial" w:hAnsi="Arial"/>
          <w:color w:val="444444"/>
          <w:sz w:val="18"/>
        </w:rPr>
        <w:t>Documents #7, #17, #21: Prioritize gaps, create your POA&amp;M, and plan remediation activities.</w:t>
      </w:r>
    </w:p>
    <w:p>
      <w:pPr>
        <w:spacing w:before="120" w:after="20"/>
      </w:pPr>
      <w:r>
        <w:rPr>
          <w:rFonts w:ascii="Arial" w:hAnsi="Arial"/>
          <w:b/>
          <w:color w:val="0A1F3F"/>
          <w:sz w:val="20"/>
        </w:rPr>
        <w:t>Phase 4: Documentation</w:t>
      </w:r>
    </w:p>
    <w:p>
      <w:pPr>
        <w:spacing w:before="0" w:after="80"/>
        <w:ind w:left="432"/>
      </w:pPr>
      <w:r>
        <w:rPr>
          <w:rFonts w:ascii="Arial" w:hAnsi="Arial"/>
          <w:color w:val="444444"/>
          <w:sz w:val="18"/>
        </w:rPr>
        <w:t>Documents #6, #9, #18-20: Build your SSP, write policies and procedures, set ODPs.</w:t>
      </w:r>
    </w:p>
    <w:p>
      <w:pPr>
        <w:spacing w:before="120" w:after="20"/>
      </w:pPr>
      <w:r>
        <w:rPr>
          <w:rFonts w:ascii="Arial" w:hAnsi="Arial"/>
          <w:b/>
          <w:color w:val="0A1F3F"/>
          <w:sz w:val="20"/>
        </w:rPr>
        <w:t>Phase 5: Level 1 Compliance</w:t>
      </w:r>
    </w:p>
    <w:p>
      <w:pPr>
        <w:spacing w:before="0" w:after="80"/>
        <w:ind w:left="432"/>
      </w:pPr>
      <w:r>
        <w:rPr>
          <w:rFonts w:ascii="Arial" w:hAnsi="Arial"/>
          <w:color w:val="444444"/>
          <w:sz w:val="18"/>
        </w:rPr>
        <w:t>Documents #10-13: If Level 1, use the plain language guide, SSP template, scoring worksheet, and affirmation checklist.</w:t>
      </w:r>
    </w:p>
    <w:p>
      <w:pPr>
        <w:spacing w:before="120" w:after="20"/>
      </w:pPr>
      <w:r>
        <w:rPr>
          <w:rFonts w:ascii="Arial" w:hAnsi="Arial"/>
          <w:b/>
          <w:color w:val="0A1F3F"/>
          <w:sz w:val="20"/>
        </w:rPr>
        <w:t>Phase 6: Level 2 Compliance</w:t>
      </w:r>
    </w:p>
    <w:p>
      <w:pPr>
        <w:spacing w:before="0" w:after="80"/>
        <w:ind w:left="432"/>
      </w:pPr>
      <w:r>
        <w:rPr>
          <w:rFonts w:ascii="Arial" w:hAnsi="Arial"/>
          <w:color w:val="444444"/>
          <w:sz w:val="18"/>
        </w:rPr>
        <w:t>Documents #14, #22-23: Map CUI flows, collect evidence, and submit your Level 2 affirmation.</w:t>
      </w:r>
    </w:p>
    <w:p>
      <w:pPr>
        <w:spacing w:before="120" w:after="20"/>
      </w:pPr>
      <w:r>
        <w:rPr>
          <w:rFonts w:ascii="Arial" w:hAnsi="Arial"/>
          <w:b/>
          <w:color w:val="0A1F3F"/>
          <w:sz w:val="20"/>
        </w:rPr>
        <w:t>Phase 7: C3PAO Preparation</w:t>
      </w:r>
    </w:p>
    <w:p>
      <w:pPr>
        <w:spacing w:before="0" w:after="80"/>
        <w:ind w:left="432"/>
      </w:pPr>
      <w:r>
        <w:rPr>
          <w:rFonts w:ascii="Arial" w:hAnsi="Arial"/>
          <w:color w:val="444444"/>
          <w:sz w:val="18"/>
        </w:rPr>
        <w:t>Document #25: Use the readiness gap checklist to prepare for third-party assessment.</w:t>
      </w:r>
    </w:p>
    <w:p>
      <w:pPr>
        <w:spacing w:before="120" w:after="20"/>
      </w:pPr>
      <w:r>
        <w:rPr>
          <w:rFonts w:ascii="Arial" w:hAnsi="Arial"/>
          <w:b/>
          <w:color w:val="0A1F3F"/>
          <w:sz w:val="20"/>
        </w:rPr>
        <w:t>Phase 8: Ongoing Maintenance</w:t>
      </w:r>
    </w:p>
    <w:p>
      <w:pPr>
        <w:spacing w:before="0" w:after="80"/>
        <w:ind w:left="432"/>
      </w:pPr>
      <w:r>
        <w:rPr>
          <w:rFonts w:ascii="Arial" w:hAnsi="Arial"/>
          <w:color w:val="444444"/>
          <w:sz w:val="18"/>
        </w:rPr>
        <w:t>Documents #5, #24, #26: Submit SPRS scores, maintain continuous monitoring, and follow your roadmap.</w:t>
      </w:r>
    </w:p>
    <w:p>
      <w:pPr>
        <w:spacing w:before="280" w:after="120"/>
      </w:pPr>
      <w:r>
        <w:rPr>
          <w:rFonts w:ascii="Arial" w:hAnsi="Arial"/>
          <w:b/>
          <w:color w:val="0A1F3F"/>
          <w:sz w:val="24"/>
        </w:rPr>
        <w:t>GET PROFESSIONAL SUPPORT</w:t>
      </w:r>
    </w:p>
    <w:tbl>
      <w:tblPr>
        <w:tblW w:type="auto" w:w="0"/>
        <w:jc w:val="center"/>
        <w:tblLook w:firstColumn="1" w:firstRow="1" w:lastColumn="0" w:lastRow="0" w:noHBand="0" w:noVBand="1" w:val="04A0"/>
      </w:tblPr>
      <w:tblGrid>
        <w:gridCol w:w="10080"/>
      </w:tblGrid>
      <w:tr>
        <w:tc>
          <w:tcPr>
            <w:tcW w:type="dxa" w:w="10080"/>
            <w:shd w:fill="FFF8E7" w:val="clear"/>
            <w:tcBorders>
              <w:top w:val="single" w:sz="8" w:space="0" w:color="C8962E"/>
              <w:bottom w:val="single" w:sz="8" w:space="0" w:color="C8962E"/>
              <w:left w:val="single" w:sz="8" w:space="0" w:color="C8962E"/>
              <w:right w:val="single" w:sz="8" w:space="0" w:color="C8962E"/>
            </w:tcBorders>
          </w:tcPr>
          <w:p>
            <w:pPr>
              <w:spacing w:before="120" w:after="120"/>
              <w:jc w:val="center"/>
            </w:pPr>
            <w:r>
              <w:rPr>
                <w:rFonts w:ascii="Arial" w:hAnsi="Arial"/>
                <w:b/>
                <w:color w:val="0A1F3F"/>
                <w:sz w:val="20"/>
              </w:rPr>
              <w:t>Need help implementing CMMC in your organization?</w:t>
            </w:r>
          </w:p>
          <w:p>
            <w:pPr>
              <w:spacing w:before="120" w:after="120"/>
              <w:jc w:val="center"/>
            </w:pPr>
            <w:r>
              <w:rPr>
                <w:rFonts w:ascii="Arial" w:hAnsi="Arial"/>
                <w:b w:val="0"/>
                <w:color w:val="444444"/>
                <w:sz w:val="20"/>
              </w:rPr>
              <w:t>Visit us for consulting services, custom templates, and hands-on compliance support.</w:t>
            </w:r>
          </w:p>
          <w:p>
            <w:pPr>
              <w:spacing w:before="120" w:after="120"/>
              <w:jc w:val="center"/>
            </w:pPr>
            <w:r>
              <w:rPr>
                <w:rFonts w:ascii="Arial" w:hAnsi="Arial"/>
                <w:b/>
                <w:color w:val="C8962E"/>
                <w:sz w:val="20"/>
              </w:rPr>
              <w:t>www.easycompliances.net</w:t>
            </w:r>
          </w:p>
        </w:tc>
      </w:tr>
    </w:tbl>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