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Arial" w:hAnsi="Arial"/>
          <w:b/>
          <w:color w:val="C8962E"/>
          <w:sz w:val="18"/>
        </w:rPr>
        <w:t>CMMC TRAINING PROGRAM — COURSE 1</w:t>
      </w:r>
    </w:p>
    <w:p>
      <w:pPr>
        <w:spacing w:before="0" w:after="40"/>
        <w:jc w:val="center"/>
      </w:pPr>
      <w:r>
        <w:rPr>
          <w:rFonts w:ascii="Arial" w:hAnsi="Arial"/>
          <w:b/>
          <w:color w:val="0A1F3F"/>
          <w:sz w:val="52"/>
        </w:rPr>
        <w:t>CMMC Compliance</w:t>
      </w:r>
    </w:p>
    <w:p>
      <w:pPr>
        <w:spacing w:before="0" w:after="80"/>
        <w:jc w:val="center"/>
      </w:pPr>
      <w:r>
        <w:rPr>
          <w:rFonts w:ascii="Arial" w:hAnsi="Arial"/>
          <w:color w:val="1A3A5C"/>
          <w:sz w:val="32"/>
        </w:rPr>
        <w:t>Roadmap Planner</w:t>
      </w:r>
    </w:p>
    <w:p>
      <w:pPr>
        <w:spacing w:before="0" w:after="120"/>
        <w:jc w:val="center"/>
      </w:pPr>
      <w:r>
        <w:rPr>
          <w:rFonts w:ascii="Arial" w:hAnsi="Arial"/>
          <w:color w:val="999999"/>
          <w:sz w:val="18"/>
        </w:rPr>
        <w:t>Lesson 10.2 — Resource Document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40" w:after="80"/>
      </w:pPr>
      <w:r>
        <w:rPr>
          <w:rFonts w:ascii="Arial" w:hAnsi="Arial"/>
          <w:b/>
          <w:color w:val="0A1F3F"/>
          <w:sz w:val="22"/>
        </w:rPr>
        <w:t>INSTRUCTIONS</w:t>
      </w:r>
    </w:p>
    <w:p>
      <w:pPr>
        <w:spacing w:before="0" w:after="160"/>
      </w:pPr>
      <w:r>
        <w:rPr>
          <w:rFonts w:ascii="Arial" w:hAnsi="Arial"/>
          <w:color w:val="444444"/>
          <w:sz w:val="20"/>
        </w:rPr>
        <w:t>This roadmap planner helps you create a structured timeline for achieving and maintaining CMMC compliance. Whether you are starting from scratch or upgrading from Level 1 to Level 2, this planner provides a phase-by-phase approach with clear milestones. Customize the timeline based on your organization's size, current maturity level, and contract deadlines. Share this roadmap with leadership to secure resources and set expectations.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ROADMAP PHASES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880"/>
        <w:gridCol w:w="2880"/>
        <w:gridCol w:w="2880"/>
        <w:gridCol w:w="2880"/>
        <w:gridCol w:w="2880"/>
      </w:tblGrid>
      <w:tr>
        <w:tc>
          <w:tcPr>
            <w:tcW w:type="dxa" w:w="72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PHASE</w:t>
            </w:r>
          </w:p>
        </w:tc>
        <w:tc>
          <w:tcPr>
            <w:tcW w:type="dxa" w:w="172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NAME</w:t>
            </w:r>
          </w:p>
        </w:tc>
        <w:tc>
          <w:tcPr>
            <w:tcW w:type="dxa" w:w="1296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DURATION</w:t>
            </w:r>
          </w:p>
        </w:tc>
        <w:tc>
          <w:tcPr>
            <w:tcW w:type="dxa" w:w="460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KEY ACTIVITIES</w:t>
            </w:r>
          </w:p>
        </w:tc>
        <w:tc>
          <w:tcPr>
            <w:tcW w:type="dxa" w:w="388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DELIVERABLES</w:t>
            </w:r>
          </w:p>
        </w:tc>
      </w:tr>
      <w:tr>
        <w:tc>
          <w:tcPr>
            <w:tcW w:type="dxa" w:w="72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1</w:t>
            </w:r>
          </w:p>
        </w:tc>
        <w:tc>
          <w:tcPr>
            <w:tcW w:type="dxa" w:w="17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Discovery &amp; Scoping</w:t>
            </w:r>
          </w:p>
        </w:tc>
        <w:tc>
          <w:tcPr>
            <w:tcW w:type="dxa" w:w="129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2-4 weeks</w:t>
            </w:r>
          </w:p>
        </w:tc>
        <w:tc>
          <w:tcPr>
            <w:tcW w:type="dxa" w:w="46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Identify contracts, classify data (FCI/CUI), determine required CMMC level, define system boundary</w:t>
            </w:r>
          </w:p>
        </w:tc>
        <w:tc>
          <w:tcPr>
            <w:tcW w:type="dxa" w:w="388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Data classification report, scope document, contract review summary</w:t>
            </w:r>
          </w:p>
        </w:tc>
      </w:tr>
      <w:tr>
        <w:tc>
          <w:tcPr>
            <w:tcW w:type="dxa" w:w="72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2</w:t>
            </w:r>
          </w:p>
        </w:tc>
        <w:tc>
          <w:tcPr>
            <w:tcW w:type="dxa" w:w="172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Gap Assessment</w:t>
            </w:r>
          </w:p>
        </w:tc>
        <w:tc>
          <w:tcPr>
            <w:tcW w:type="dxa" w:w="129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4-6 weeks</w:t>
            </w:r>
          </w:p>
        </w:tc>
        <w:tc>
          <w:tcPr>
            <w:tcW w:type="dxa" w:w="46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Assess all applicable controls, calculate SPRS score, identify gaps, prioritize remediation</w:t>
            </w:r>
          </w:p>
        </w:tc>
        <w:tc>
          <w:tcPr>
            <w:tcW w:type="dxa" w:w="388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Gap assessment report, initial SPRS score, prioritized gap list</w:t>
            </w:r>
          </w:p>
        </w:tc>
      </w:tr>
      <w:tr>
        <w:tc>
          <w:tcPr>
            <w:tcW w:type="dxa" w:w="72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3</w:t>
            </w:r>
          </w:p>
        </w:tc>
        <w:tc>
          <w:tcPr>
            <w:tcW w:type="dxa" w:w="17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Remediation Planning</w:t>
            </w:r>
          </w:p>
        </w:tc>
        <w:tc>
          <w:tcPr>
            <w:tcW w:type="dxa" w:w="129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2-3 weeks</w:t>
            </w:r>
          </w:p>
        </w:tc>
        <w:tc>
          <w:tcPr>
            <w:tcW w:type="dxa" w:w="46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Create POA&amp;M, assign owners, estimate costs, build remediation schedule, secure budget</w:t>
            </w:r>
          </w:p>
        </w:tc>
        <w:tc>
          <w:tcPr>
            <w:tcW w:type="dxa" w:w="388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POA&amp;M, remediation project plan, budget request</w:t>
            </w:r>
          </w:p>
        </w:tc>
      </w:tr>
      <w:tr>
        <w:tc>
          <w:tcPr>
            <w:tcW w:type="dxa" w:w="72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4</w:t>
            </w:r>
          </w:p>
        </w:tc>
        <w:tc>
          <w:tcPr>
            <w:tcW w:type="dxa" w:w="172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Implementation</w:t>
            </w:r>
          </w:p>
        </w:tc>
        <w:tc>
          <w:tcPr>
            <w:tcW w:type="dxa" w:w="129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3-12 months</w:t>
            </w:r>
          </w:p>
        </w:tc>
        <w:tc>
          <w:tcPr>
            <w:tcW w:type="dxa" w:w="46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Deploy technical controls, write policies/procedures, train staff, build SSP, collect evidence</w:t>
            </w:r>
          </w:p>
        </w:tc>
        <w:tc>
          <w:tcPr>
            <w:tcW w:type="dxa" w:w="388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Policies, procedures, SSP, technical implementations, training records</w:t>
            </w:r>
          </w:p>
        </w:tc>
      </w:tr>
      <w:tr>
        <w:tc>
          <w:tcPr>
            <w:tcW w:type="dxa" w:w="72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5</w:t>
            </w:r>
          </w:p>
        </w:tc>
        <w:tc>
          <w:tcPr>
            <w:tcW w:type="dxa" w:w="17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Internal Review</w:t>
            </w:r>
          </w:p>
        </w:tc>
        <w:tc>
          <w:tcPr>
            <w:tcW w:type="dxa" w:w="129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2-4 weeks</w:t>
            </w:r>
          </w:p>
        </w:tc>
        <w:tc>
          <w:tcPr>
            <w:tcW w:type="dxa" w:w="46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Conduct internal mock assessment, verify all controls, finalize evidence, close POA&amp;M gaps</w:t>
            </w:r>
          </w:p>
        </w:tc>
        <w:tc>
          <w:tcPr>
            <w:tcW w:type="dxa" w:w="388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Mock assessment report, final evidence repository, updated SSP/POA&amp;M</w:t>
            </w:r>
          </w:p>
        </w:tc>
      </w:tr>
      <w:tr>
        <w:tc>
          <w:tcPr>
            <w:tcW w:type="dxa" w:w="72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6</w:t>
            </w:r>
          </w:p>
        </w:tc>
        <w:tc>
          <w:tcPr>
            <w:tcW w:type="dxa" w:w="172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Assessment &amp; Certification</w:t>
            </w:r>
          </w:p>
        </w:tc>
        <w:tc>
          <w:tcPr>
            <w:tcW w:type="dxa" w:w="129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4-8 weeks</w:t>
            </w:r>
          </w:p>
        </w:tc>
        <w:tc>
          <w:tcPr>
            <w:tcW w:type="dxa" w:w="460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Submit SPRS score, conduct self-assessment or engage C3PAO, submit affirmation</w:t>
            </w:r>
          </w:p>
        </w:tc>
        <w:tc>
          <w:tcPr>
            <w:tcW w:type="dxa" w:w="388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SPRS submission, assessment report, affirmation, CMMC certification</w:t>
            </w:r>
          </w:p>
        </w:tc>
      </w:tr>
      <w:tr>
        <w:tc>
          <w:tcPr>
            <w:tcW w:type="dxa" w:w="72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7</w:t>
            </w:r>
          </w:p>
        </w:tc>
        <w:tc>
          <w:tcPr>
            <w:tcW w:type="dxa" w:w="17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Continuous Monitoring</w:t>
            </w:r>
          </w:p>
        </w:tc>
        <w:tc>
          <w:tcPr>
            <w:tcW w:type="dxa" w:w="129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Ongoing</w:t>
            </w:r>
          </w:p>
        </w:tc>
        <w:tc>
          <w:tcPr>
            <w:tcW w:type="dxa" w:w="460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Monitor controls, update documentation, re-assess annually, close new POA&amp;M items</w:t>
            </w:r>
          </w:p>
        </w:tc>
        <w:tc>
          <w:tcPr>
            <w:tcW w:type="dxa" w:w="388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Monitoring reports, annual re-assessment, updated SSP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MILESTONE TRACKER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880"/>
        <w:gridCol w:w="2880"/>
        <w:gridCol w:w="2880"/>
        <w:gridCol w:w="2880"/>
        <w:gridCol w:w="2880"/>
      </w:tblGrid>
      <w:tr>
        <w:tc>
          <w:tcPr>
            <w:tcW w:type="dxa" w:w="316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MILESTONE</w:t>
            </w:r>
          </w:p>
        </w:tc>
        <w:tc>
          <w:tcPr>
            <w:tcW w:type="dxa" w:w="144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TARGET DATE</w:t>
            </w:r>
          </w:p>
        </w:tc>
        <w:tc>
          <w:tcPr>
            <w:tcW w:type="dxa" w:w="1152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OWNER</w:t>
            </w:r>
          </w:p>
        </w:tc>
        <w:tc>
          <w:tcPr>
            <w:tcW w:type="dxa" w:w="1296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STATUS</w:t>
            </w:r>
          </w:p>
        </w:tc>
        <w:tc>
          <w:tcPr>
            <w:tcW w:type="dxa" w:w="36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NOTES</w:t>
            </w:r>
          </w:p>
        </w:tc>
      </w:tr>
      <w:tr>
        <w:tc>
          <w:tcPr>
            <w:tcW w:type="dxa" w:w="316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Scope and boundary defined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29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Not Started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[Notes]</w:t>
            </w:r>
          </w:p>
        </w:tc>
      </w:tr>
      <w:tr>
        <w:tc>
          <w:tcPr>
            <w:tcW w:type="dxa" w:w="316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Gap assessment complete</w:t>
            </w:r>
          </w:p>
        </w:tc>
        <w:tc>
          <w:tcPr>
            <w:tcW w:type="dxa" w:w="14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29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Not Started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[Notes]</w:t>
            </w:r>
          </w:p>
        </w:tc>
      </w:tr>
      <w:tr>
        <w:tc>
          <w:tcPr>
            <w:tcW w:type="dxa" w:w="316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POA&amp;M created and approved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29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Not Started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[Notes]</w:t>
            </w:r>
          </w:p>
        </w:tc>
      </w:tr>
      <w:tr>
        <w:tc>
          <w:tcPr>
            <w:tcW w:type="dxa" w:w="316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Policies written and approved (14)</w:t>
            </w:r>
          </w:p>
        </w:tc>
        <w:tc>
          <w:tcPr>
            <w:tcW w:type="dxa" w:w="14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29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Not Started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[Notes]</w:t>
            </w:r>
          </w:p>
        </w:tc>
      </w:tr>
      <w:tr>
        <w:tc>
          <w:tcPr>
            <w:tcW w:type="dxa" w:w="316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Procedures documented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29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Not Started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[Notes]</w:t>
            </w:r>
          </w:p>
        </w:tc>
      </w:tr>
      <w:tr>
        <w:tc>
          <w:tcPr>
            <w:tcW w:type="dxa" w:w="316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Technical controls deployed</w:t>
            </w:r>
          </w:p>
        </w:tc>
        <w:tc>
          <w:tcPr>
            <w:tcW w:type="dxa" w:w="14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29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Not Started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[Notes]</w:t>
            </w:r>
          </w:p>
        </w:tc>
      </w:tr>
      <w:tr>
        <w:tc>
          <w:tcPr>
            <w:tcW w:type="dxa" w:w="316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Staff training complete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29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Not Started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[Notes]</w:t>
            </w:r>
          </w:p>
        </w:tc>
      </w:tr>
      <w:tr>
        <w:tc>
          <w:tcPr>
            <w:tcW w:type="dxa" w:w="316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SSP finalized</w:t>
            </w:r>
          </w:p>
        </w:tc>
        <w:tc>
          <w:tcPr>
            <w:tcW w:type="dxa" w:w="14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29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Not Started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[Notes]</w:t>
            </w:r>
          </w:p>
        </w:tc>
      </w:tr>
      <w:tr>
        <w:tc>
          <w:tcPr>
            <w:tcW w:type="dxa" w:w="316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Evidence repository complete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29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Not Started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[Notes]</w:t>
            </w:r>
          </w:p>
        </w:tc>
      </w:tr>
      <w:tr>
        <w:tc>
          <w:tcPr>
            <w:tcW w:type="dxa" w:w="316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Internal mock assessment done</w:t>
            </w:r>
          </w:p>
        </w:tc>
        <w:tc>
          <w:tcPr>
            <w:tcW w:type="dxa" w:w="14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29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Not Started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[Notes]</w:t>
            </w:r>
          </w:p>
        </w:tc>
      </w:tr>
      <w:tr>
        <w:tc>
          <w:tcPr>
            <w:tcW w:type="dxa" w:w="316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SPRS score submitted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29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Not Started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[Notes]</w:t>
            </w:r>
          </w:p>
        </w:tc>
      </w:tr>
      <w:tr>
        <w:tc>
          <w:tcPr>
            <w:tcW w:type="dxa" w:w="316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Assessment/certification complete</w:t>
            </w:r>
          </w:p>
        </w:tc>
        <w:tc>
          <w:tcPr>
            <w:tcW w:type="dxa" w:w="14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152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29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Not Started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[Notes]</w:t>
            </w:r>
          </w:p>
        </w:tc>
      </w:tr>
      <w:tr>
        <w:tc>
          <w:tcPr>
            <w:tcW w:type="dxa" w:w="316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Continuous monitoring active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1152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29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Not Started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[Notes]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RESOURCE PLANNING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800"/>
        <w:gridCol w:w="4800"/>
        <w:gridCol w:w="4800"/>
      </w:tblGrid>
      <w:tr>
        <w:tc>
          <w:tcPr>
            <w:tcW w:type="dxa" w:w="2592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RESOURCE CATEGORY</w:t>
            </w:r>
          </w:p>
        </w:tc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ESTIMATED NEED</w:t>
            </w:r>
          </w:p>
        </w:tc>
        <w:tc>
          <w:tcPr>
            <w:tcW w:type="dxa" w:w="72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NOTES</w:t>
            </w:r>
          </w:p>
        </w:tc>
      </w:tr>
      <w:tr>
        <w:tc>
          <w:tcPr>
            <w:tcW w:type="dxa" w:w="259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Internal Staff Time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[X hours/month]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IT, security, compliance, management involvement</w:t>
            </w:r>
          </w:p>
        </w:tc>
      </w:tr>
      <w:tr>
        <w:tc>
          <w:tcPr>
            <w:tcW w:type="dxa" w:w="259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External Consultant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[$X - $X]</w:t>
            </w:r>
          </w:p>
        </w:tc>
        <w:tc>
          <w:tcPr>
            <w:tcW w:type="dxa" w:w="72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Optional: gap assessment, remediation guidance, mock assessment</w:t>
            </w:r>
          </w:p>
        </w:tc>
      </w:tr>
      <w:tr>
        <w:tc>
          <w:tcPr>
            <w:tcW w:type="dxa" w:w="259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Technology/Tools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[$X - $X]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SIEM, MFA, encryption, endpoint protection, backup, GRC tool</w:t>
            </w:r>
          </w:p>
        </w:tc>
      </w:tr>
      <w:tr>
        <w:tc>
          <w:tcPr>
            <w:tcW w:type="dxa" w:w="259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Training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[$X per person]</w:t>
            </w:r>
          </w:p>
        </w:tc>
        <w:tc>
          <w:tcPr>
            <w:tcW w:type="dxa" w:w="72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Security awareness training platform, role-specific training</w:t>
            </w:r>
          </w:p>
        </w:tc>
      </w:tr>
      <w:tr>
        <w:tc>
          <w:tcPr>
            <w:tcW w:type="dxa" w:w="259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C3PAO Assessment Fee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[$X - $X]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If required; varies by scope and assessor organization</w:t>
            </w:r>
          </w:p>
        </w:tc>
      </w:tr>
      <w:tr>
        <w:tc>
          <w:tcPr>
            <w:tcW w:type="dxa" w:w="259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Ongoing Monitoring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[$X/year]</w:t>
            </w:r>
          </w:p>
        </w:tc>
        <w:tc>
          <w:tcPr>
            <w:tcW w:type="dxa" w:w="72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Tool subscriptions, staff time, annual re-assessment</w:t>
            </w:r>
          </w:p>
        </w:tc>
      </w:tr>
    </w:tbl>
    <w:p>
      <w:pPr>
        <w:spacing w:before="40" w:after="40"/>
        <w:pBdr>
          <w:bottom w:val="single" w:sz="12" w:space="1" w:color="C8962E"/>
        </w:pBdr>
      </w:pPr>
    </w:p>
    <w:p>
      <w:pPr>
        <w:spacing w:before="200" w:after="40"/>
        <w:jc w:val="center"/>
      </w:pPr>
      <w:r>
        <w:rPr>
          <w:rFonts w:ascii="Arial" w:hAnsi="Arial"/>
          <w:color w:val="999999"/>
          <w:sz w:val="16"/>
        </w:rPr>
        <w:t>CMMC Training Program — Course 1</w:t>
      </w:r>
    </w:p>
    <w:p>
      <w:pPr>
        <w:spacing w:before="40" w:after="40"/>
        <w:jc w:val="center"/>
      </w:pPr>
      <w:r>
        <w:rPr>
          <w:rFonts w:ascii="Arial" w:hAnsi="Arial"/>
          <w:color w:val="666666"/>
          <w:sz w:val="18"/>
        </w:rPr>
        <w:t>For more resources, templates, and compliance guidance visit:</w:t>
      </w:r>
    </w:p>
    <w:p>
      <w:pPr>
        <w:spacing w:before="40" w:after="0"/>
        <w:jc w:val="center"/>
      </w:pPr>
      <w:r>
        <w:rPr>
          <w:rFonts w:ascii="Arial" w:hAnsi="Arial"/>
          <w:b/>
          <w:color w:val="C8962E"/>
          <w:sz w:val="22"/>
          <w:u w:val="single"/>
        </w:rPr>
        <w:t>www.easycompliances.net</w:t>
      </w:r>
    </w:p>
    <w:p>
      <w:pPr>
        <w:spacing w:before="120" w:after="0"/>
        <w:jc w:val="center"/>
      </w:pPr>
      <w:r>
        <w:rPr>
          <w:rFonts w:ascii="Arial" w:hAnsi="Arial"/>
          <w:color w:val="BBBBBB"/>
          <w:sz w:val="14"/>
        </w:rPr>
        <w:t>© 2026 Easy Compliances. All Rights Reserved.</w:t>
      </w:r>
    </w:p>
    <w:sectPr w:rsidR="00FC693F" w:rsidRPr="0006063C" w:rsidSect="00034616">
      <w:pgSz w:w="15840" w:h="12240" w:orient="landscape"/>
      <w:pgMar w:top="1080" w:right="720" w:bottom="10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